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567" w:after="0"/>
        <w:jc w:val="center"/>
        <w:rPr/>
      </w:pPr>
      <w:r>
        <w:rPr/>
        <w:drawing>
          <wp:inline distT="0" distB="0" distL="0" distR="0">
            <wp:extent cx="2520315" cy="610870"/>
            <wp:effectExtent l="0" t="0" r="0" b="0"/>
            <wp:docPr id="1" name="Pictur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315" cy="610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before="567" w:after="0"/>
        <w:jc w:val="center"/>
        <w:rPr/>
      </w:pPr>
      <w:r>
        <w:rPr>
          <w:rFonts w:eastAsia="Times New Roman"/>
          <w:b w:val="false"/>
          <w:color w:val="5C5A66"/>
          <w:sz w:val="24"/>
        </w:rPr>
        <w:t>ООО «СПОРТГИД»</w:t>
      </w:r>
    </w:p>
    <w:p>
      <w:pPr>
        <w:pStyle w:val="Normal"/>
        <w:spacing w:before="3402" w:after="0"/>
        <w:jc w:val="center"/>
        <w:rPr/>
      </w:pPr>
      <w:r>
        <w:rPr>
          <w:rFonts w:eastAsia="Times New Roman"/>
          <w:b/>
          <w:color w:val="442A6B"/>
          <w:sz w:val="44"/>
        </w:rPr>
        <w:t>ИНСТРУКЦИЯ ПО ЭКСПЛУАТАЦИИ</w:t>
      </w:r>
    </w:p>
    <w:p>
      <w:pPr>
        <w:pStyle w:val="Normal"/>
        <w:spacing w:before="454" w:after="0"/>
        <w:jc w:val="center"/>
        <w:rPr/>
      </w:pPr>
      <w:r>
        <w:rPr>
          <w:rFonts w:eastAsia="Times New Roman"/>
          <w:b w:val="false"/>
          <w:sz w:val="30"/>
        </w:rPr>
        <w:t>программы для ЭВМ «СпортГид: цифровая платформа детского спорта»</w:t>
      </w:r>
    </w:p>
    <w:p>
      <w:pPr>
        <w:pStyle w:val="Normal"/>
        <w:spacing w:before="340" w:after="0"/>
        <w:jc w:val="center"/>
        <w:rPr/>
      </w:pPr>
      <w:r>
        <w:rPr>
          <w:rFonts w:eastAsia="Times New Roman"/>
          <w:b w:val="false"/>
          <w:color w:val="5C5A66"/>
          <w:sz w:val="26"/>
        </w:rPr>
        <w:t>Версия 1.0</w:t>
      </w:r>
    </w:p>
    <w:p>
      <w:pPr>
        <w:pStyle w:val="Normal"/>
        <w:spacing w:before="5102" w:after="0"/>
        <w:jc w:val="center"/>
        <w:rPr/>
      </w:pPr>
      <w:r>
        <w:rPr>
          <w:rFonts w:eastAsia="Times New Roman"/>
          <w:b w:val="false"/>
          <w:color w:val="5C5A66"/>
          <w:sz w:val="24"/>
        </w:rPr>
        <w:t>Москва, 2026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br w:type="page"/>
          </w:r>
          <w:r>
            <w:rPr/>
            <w:t>Оглавление</w:t>
          </w:r>
        </w:p>
        <w:p>
          <w:pPr>
            <w:pStyle w:val="TOC1"/>
            <w:tabs>
              <w:tab w:val="clear" w:pos="9355"/>
              <w:tab w:val="right" w:pos="9354" w:leader="dot"/>
            </w:tabs>
            <w:rPr/>
          </w:pPr>
          <w:r>
            <w:fldChar w:fldCharType="begin"/>
          </w:r>
          <w:r>
            <w:rPr>
              <w:webHidden/>
              <w:rStyle w:val="IndexLink"/>
            </w:rPr>
            <w:instrText xml:space="preserve"> TOC \z \o "1-2" \u \h</w:instrText>
          </w:r>
          <w:r>
            <w:rPr>
              <w:webHidden/>
              <w:rStyle w:val="IndexLink"/>
            </w:rPr>
            <w:fldChar w:fldCharType="separate"/>
          </w:r>
          <w:hyperlink w:anchor="__RefHeading___Toc2351_1869876486">
            <w:r>
              <w:rPr>
                <w:webHidden/>
                <w:rStyle w:val="IndexLink"/>
              </w:rPr>
              <w:t>Реквизиты программного обеспечения</w:t>
              <w:tab/>
              <w:t>4</w:t>
            </w:r>
          </w:hyperlink>
        </w:p>
        <w:p>
          <w:pPr>
            <w:pStyle w:val="TOC1"/>
            <w:tabs>
              <w:tab w:val="clear" w:pos="9355"/>
              <w:tab w:val="right" w:pos="9354" w:leader="dot"/>
            </w:tabs>
            <w:rPr/>
          </w:pPr>
          <w:hyperlink w:anchor="__RefHeading___Toc2353_1869876486">
            <w:r>
              <w:rPr>
                <w:webHidden/>
                <w:rStyle w:val="IndexLink"/>
              </w:rPr>
              <w:t>Введение</w:t>
              <w:tab/>
              <w:t>5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2355_1869876486">
            <w:r>
              <w:rPr>
                <w:webHidden/>
                <w:rStyle w:val="IndexLink"/>
              </w:rPr>
              <w:t>Назначение документа</w:t>
              <w:tab/>
              <w:t>5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2357_1869876486">
            <w:r>
              <w:rPr>
                <w:webHidden/>
                <w:rStyle w:val="IndexLink"/>
              </w:rPr>
              <w:t>Модель развёртывания</w:t>
              <w:tab/>
              <w:t>5</w:t>
            </w:r>
          </w:hyperlink>
        </w:p>
        <w:p>
          <w:pPr>
            <w:pStyle w:val="TOC1"/>
            <w:tabs>
              <w:tab w:val="clear" w:pos="9355"/>
              <w:tab w:val="right" w:pos="9354" w:leader="dot"/>
            </w:tabs>
            <w:rPr/>
          </w:pPr>
          <w:hyperlink w:anchor="__RefHeading___Toc2359_1869876486">
            <w:r>
              <w:rPr>
                <w:webHidden/>
                <w:rStyle w:val="IndexLink"/>
              </w:rPr>
              <w:t>Системные требования</w:t>
              <w:tab/>
              <w:t>5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2361_1869876486">
            <w:r>
              <w:rPr>
                <w:webHidden/>
                <w:rStyle w:val="IndexLink"/>
              </w:rPr>
              <w:t>Стенд для проверки экземпляра</w:t>
              <w:tab/>
              <w:t>5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2363_1869876486">
            <w:r>
              <w:rPr>
                <w:webHidden/>
                <w:rStyle w:val="IndexLink"/>
              </w:rPr>
              <w:t>Промышленный контур</w:t>
              <w:tab/>
              <w:t>6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2365_1869876486">
            <w:r>
              <w:rPr>
                <w:webHidden/>
                <w:rStyle w:val="IndexLink"/>
              </w:rPr>
              <w:t>Компоненты программного обеспечения</w:t>
              <w:tab/>
              <w:t>6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2367_1869876486">
            <w:r>
              <w:rPr>
                <w:webHidden/>
                <w:rStyle w:val="IndexLink"/>
              </w:rPr>
              <w:t>Сетевые порты стенда</w:t>
              <w:tab/>
              <w:t>6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2369_1869876486">
            <w:r>
              <w:rPr>
                <w:webHidden/>
                <w:rStyle w:val="IndexLink"/>
              </w:rPr>
              <w:t>Клиентское рабочее место</w:t>
              <w:tab/>
              <w:t>7</w:t>
            </w:r>
          </w:hyperlink>
        </w:p>
        <w:p>
          <w:pPr>
            <w:pStyle w:val="TOC1"/>
            <w:tabs>
              <w:tab w:val="clear" w:pos="9355"/>
              <w:tab w:val="right" w:pos="9354" w:leader="dot"/>
            </w:tabs>
            <w:rPr/>
          </w:pPr>
          <w:hyperlink w:anchor="__RefHeading___Toc2371_1869876486">
            <w:r>
              <w:rPr>
                <w:webHidden/>
                <w:rStyle w:val="IndexLink"/>
              </w:rPr>
              <w:t>Установка стенда</w:t>
              <w:tab/>
              <w:t>7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2373_1869876486">
            <w:r>
              <w:rPr>
                <w:webHidden/>
                <w:rStyle w:val="IndexLink"/>
              </w:rPr>
              <w:t>Подготовка</w:t>
              <w:tab/>
              <w:t>7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2375_1869876486">
            <w:r>
              <w:rPr>
                <w:webHidden/>
                <w:rStyle w:val="IndexLink"/>
              </w:rPr>
              <w:t>Запуск</w:t>
              <w:tab/>
              <w:t>7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2377_1869876486">
            <w:r>
              <w:rPr>
                <w:webHidden/>
                <w:rStyle w:val="IndexLink"/>
              </w:rPr>
              <w:t>Первичная настройка базы данных</w:t>
              <w:tab/>
              <w:t>8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2379_1869876486">
            <w:r>
              <w:rPr>
                <w:webHidden/>
                <w:rStyle w:val="IndexLink"/>
              </w:rPr>
              <w:t>Перезапуск сервиса</w:t>
              <w:tab/>
              <w:t>8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2381_1869876486">
            <w:r>
              <w:rPr>
                <w:webHidden/>
                <w:rStyle w:val="IndexLink"/>
              </w:rPr>
              <w:t>Промышленный контур</w:t>
              <w:tab/>
              <w:t>8</w:t>
            </w:r>
          </w:hyperlink>
        </w:p>
        <w:p>
          <w:pPr>
            <w:pStyle w:val="TOC1"/>
            <w:tabs>
              <w:tab w:val="clear" w:pos="9355"/>
              <w:tab w:val="right" w:pos="9354" w:leader="dot"/>
            </w:tabs>
            <w:rPr/>
          </w:pPr>
          <w:hyperlink w:anchor="__RefHeading___Toc2383_1869876486">
            <w:r>
              <w:rPr>
                <w:webHidden/>
                <w:rStyle w:val="IndexLink"/>
              </w:rPr>
              <w:t>Конфигурирование</w:t>
              <w:tab/>
              <w:t>8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2385_1869876486">
            <w:r>
              <w:rPr>
                <w:webHidden/>
                <w:rStyle w:val="IndexLink"/>
              </w:rPr>
              <w:t>Группы параметров</w:t>
              <w:tab/>
              <w:t>9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2387_1869876486">
            <w:r>
              <w:rPr>
                <w:webHidden/>
                <w:rStyle w:val="IndexLink"/>
              </w:rPr>
              <w:t>Безопасность промышленного контура</w:t>
              <w:tab/>
              <w:t>9</w:t>
            </w:r>
          </w:hyperlink>
        </w:p>
        <w:p>
          <w:pPr>
            <w:pStyle w:val="TOC1"/>
            <w:tabs>
              <w:tab w:val="clear" w:pos="9355"/>
              <w:tab w:val="right" w:pos="9354" w:leader="dot"/>
            </w:tabs>
            <w:rPr/>
          </w:pPr>
          <w:hyperlink w:anchor="__RefHeading___Toc2389_1869876486">
            <w:r>
              <w:rPr>
                <w:webHidden/>
                <w:rStyle w:val="IndexLink"/>
              </w:rPr>
              <w:t>Эксплуатация</w:t>
              <w:tab/>
              <w:t>10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2391_1869876486">
            <w:r>
              <w:rPr>
                <w:webHidden/>
                <w:rStyle w:val="IndexLink"/>
              </w:rPr>
              <w:t>Запуск и остановка</w:t>
              <w:tab/>
              <w:t>10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2393_1869876486">
            <w:r>
              <w:rPr>
                <w:webHidden/>
                <w:rStyle w:val="IndexLink"/>
              </w:rPr>
              <w:t>Журналы</w:t>
              <w:tab/>
              <w:t>10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2395_1869876486">
            <w:r>
              <w:rPr>
                <w:webHidden/>
                <w:rStyle w:val="IndexLink"/>
              </w:rPr>
              <w:t>Резервное копирование</w:t>
              <w:tab/>
              <w:t>10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2397_1869876486">
            <w:r>
              <w:rPr>
                <w:webHidden/>
                <w:rStyle w:val="IndexLink"/>
              </w:rPr>
              <w:t>Восстановление</w:t>
              <w:tab/>
              <w:t>10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2399_1869876486">
            <w:r>
              <w:rPr>
                <w:webHidden/>
                <w:rStyle w:val="IndexLink"/>
              </w:rPr>
              <w:t>Мониторинг доступности</w:t>
              <w:tab/>
              <w:t>11</w:t>
            </w:r>
          </w:hyperlink>
        </w:p>
        <w:p>
          <w:pPr>
            <w:pStyle w:val="TOC1"/>
            <w:tabs>
              <w:tab w:val="clear" w:pos="9355"/>
              <w:tab w:val="right" w:pos="9354" w:leader="dot"/>
            </w:tabs>
            <w:rPr/>
          </w:pPr>
          <w:hyperlink w:anchor="__RefHeading___Toc2401_1869876486">
            <w:r>
              <w:rPr>
                <w:webHidden/>
                <w:rStyle w:val="IndexLink"/>
              </w:rPr>
              <w:t>Обновление</w:t>
              <w:tab/>
              <w:t>11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2403_1869876486">
            <w:r>
              <w:rPr>
                <w:webHidden/>
                <w:rStyle w:val="IndexLink"/>
              </w:rPr>
              <w:t>Порядок обновления промышленного контура</w:t>
              <w:tab/>
              <w:t>11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2405_1869876486">
            <w:r>
              <w:rPr>
                <w:webHidden/>
                <w:rStyle w:val="IndexLink"/>
              </w:rPr>
              <w:t>Откат</w:t>
              <w:tab/>
              <w:t>11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2407_1869876486">
            <w:r>
              <w:rPr>
                <w:webHidden/>
                <w:rStyle w:val="IndexLink"/>
              </w:rPr>
              <w:t>Совместимость клиентских рабочих мест</w:t>
              <w:tab/>
              <w:t>11</w:t>
            </w:r>
          </w:hyperlink>
        </w:p>
        <w:p>
          <w:pPr>
            <w:pStyle w:val="TOC1"/>
            <w:tabs>
              <w:tab w:val="clear" w:pos="9355"/>
              <w:tab w:val="right" w:pos="9354" w:leader="dot"/>
            </w:tabs>
            <w:rPr/>
          </w:pPr>
          <w:hyperlink w:anchor="__RefHeading___Toc2409_1869876486">
            <w:r>
              <w:rPr>
                <w:webHidden/>
                <w:rStyle w:val="IndexLink"/>
              </w:rPr>
              <w:t>Типичные проблемы</w:t>
              <w:tab/>
              <w:t>12</w:t>
            </w:r>
          </w:hyperlink>
        </w:p>
        <w:p>
          <w:pPr>
            <w:pStyle w:val="TOC1"/>
            <w:tabs>
              <w:tab w:val="clear" w:pos="9355"/>
              <w:tab w:val="right" w:pos="9354" w:leader="dot"/>
            </w:tabs>
            <w:rPr/>
          </w:pPr>
          <w:hyperlink w:anchor="__RefHeading___Toc2411_1869876486">
            <w:r>
              <w:rPr>
                <w:webHidden/>
                <w:rStyle w:val="IndexLink"/>
              </w:rPr>
              <w:t>Инструкция для эксперта</w:t>
              <w:tab/>
              <w:t>12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2413_1869876486">
            <w:r>
              <w:rPr>
                <w:webHidden/>
                <w:rStyle w:val="IndexLink"/>
              </w:rPr>
              <w:t>Способ 1. Локальный стенд из архива исходных текстов</w:t>
              <w:tab/>
              <w:t>12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2415_1869876486">
            <w:r>
              <w:rPr>
                <w:webHidden/>
                <w:rStyle w:val="IndexLink"/>
              </w:rPr>
              <w:t>Способ 2. Удалённый доступ к стенду правообладателя</w:t>
              <w:tab/>
              <w:t>13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2417_1869876486">
            <w:r>
              <w:rPr>
                <w:webHidden/>
                <w:rStyle w:val="IndexLink"/>
              </w:rPr>
              <w:t>Контакт технического специалиста</w:t>
              <w:tab/>
              <w:t>13</w:t>
            </w:r>
          </w:hyperlink>
        </w:p>
        <w:p>
          <w:pPr>
            <w:pStyle w:val="TOC1"/>
            <w:tabs>
              <w:tab w:val="clear" w:pos="9355"/>
              <w:tab w:val="right" w:pos="9354" w:leader="dot"/>
            </w:tabs>
            <w:rPr/>
          </w:pPr>
          <w:hyperlink w:anchor="__RefHeading___Toc2419_1869876486">
            <w:r>
              <w:rPr>
                <w:webHidden/>
                <w:rStyle w:val="IndexLink"/>
              </w:rPr>
              <w:t>Приложения</w:t>
              <w:tab/>
              <w:t>13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2421_1869876486">
            <w:r>
              <w:rPr>
                <w:webHidden/>
                <w:rStyle w:val="IndexLink"/>
              </w:rPr>
              <w:t>Состав Docker Compose (стенд)</w:t>
              <w:tab/>
              <w:t>13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2423_1869876486">
            <w:r>
              <w:rPr>
                <w:webHidden/>
                <w:rStyle w:val="IndexLink"/>
              </w:rPr>
              <w:t>Основные команды стенда</w:t>
              <w:tab/>
              <w:t>14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2425_1869876486">
            <w:r>
              <w:rPr>
                <w:webHidden/>
                <w:rStyle w:val="IndexLink"/>
              </w:rPr>
              <w:t>Переменные окружения</w:t>
              <w:tab/>
              <w:t>14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pStyle w:val="Heading1"/>
        <w:rPr/>
      </w:pPr>
      <w:r>
        <w:br w:type="page"/>
      </w:r>
      <w:bookmarkStart w:id="0" w:name="__RefHeading___Toc2351_1869876486"/>
      <w:bookmarkEnd w:id="0"/>
      <w:r>
        <w:rPr/>
        <w:t>Реквизиты программного обеспечения</w:t>
      </w:r>
    </w:p>
    <w:p>
      <w:pPr>
        <w:pStyle w:val="FirstParagraph"/>
        <w:rPr/>
      </w:pPr>
      <w:r>
        <w:rPr/>
        <w:t xml:space="preserve">Настоящий документ входит в комплект документации программы для ЭВМ </w:t>
      </w:r>
      <w:r>
        <w:rPr>
          <w:b/>
          <w:bCs/>
        </w:rPr>
        <w:t>«СпортГид: цифровая платформа детского спорта»</w:t>
      </w:r>
      <w:r>
        <w:rPr/>
        <w:t xml:space="preserve"> версии 1.0. Во всех документах комплекта используется одно и то же наименование, чтобы сведения заявления, описания и экземпляра программы совпадали.</w:t>
      </w:r>
    </w:p>
    <w:tbl>
      <w:tblPr>
        <w:tblStyle w:val="Table"/>
        <w:tblW w:w="5000" w:type="pct"/>
        <w:jc w:val="left"/>
        <w:tblInd w:w="113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020" w:noHBand="0" w:noVBand="0" w:firstColumn="0" w:lastRow="0" w:lastColumn="0" w:firstRow="1"/>
      </w:tblPr>
      <w:tblGrid>
        <w:gridCol w:w="4677"/>
        <w:gridCol w:w="4677"/>
      </w:tblGrid>
      <w:tr>
        <w:trPr>
          <w:tblHeader w:val="true"/>
        </w:trPr>
        <w:tc>
          <w:tcPr>
            <w:tcW w:w="4677" w:type="dxa"/>
            <w:tcBorders>
              <w:bottom w:val="single" w:sz="6" w:space="0" w:color="000000"/>
            </w:tcBorders>
            <w:shd w:color="auto" w:fill="EFEBF5" w:val="clear"/>
            <w:vAlign w:val="bottom"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b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Реквизит</w:t>
            </w:r>
          </w:p>
        </w:tc>
        <w:tc>
          <w:tcPr>
            <w:tcW w:w="4677" w:type="dxa"/>
            <w:tcBorders>
              <w:bottom w:val="single" w:sz="6" w:space="0" w:color="000000"/>
            </w:tcBorders>
            <w:shd w:color="auto" w:fill="EFEBF5" w:val="clear"/>
            <w:vAlign w:val="bottom"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b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Значение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Наименование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СпортГид: цифровая платформа детского спорта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Краткое наименование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СпортГид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Альтернативные наименования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СПОРТГИД; Sportguide; цифровая платформа «СПОРТГИД»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Версия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1.0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Правообладатель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ООО «СПОРТГИД»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ИНН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9704274501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КПП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770401001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ОГРН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1267700237991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Адрес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119435, Россия, г. Москва, муниципальный округ Хамовники, ул. Малая Пироговская, д. 12, помещ. 49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Класс ПО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12.18 — программное обеспечение для решения отраслевых задач в области культуры, спорта, организации досуга и развлечений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ОКПД2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62.01, 63.11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Интерфейс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русский язык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Модель поставки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предоставление удалённого доступа через сеть Интернет (SaaS)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Сайт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https://sportguide.ru/, зеркало https://sportgid.ru/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Документация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https://sportguide.ru/documentation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Контакт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hello@sportguide.ru</w:t>
            </w:r>
            <w:bookmarkStart w:id="1" w:name="реквизиты-программного-обеспечения"/>
            <w:bookmarkEnd w:id="1"/>
          </w:p>
        </w:tc>
      </w:tr>
    </w:tbl>
    <w:p>
      <w:pPr>
        <w:pStyle w:val="Heading1"/>
        <w:rPr/>
      </w:pPr>
      <w:bookmarkStart w:id="2" w:name="__RefHeading___Toc2353_1869876486"/>
      <w:bookmarkEnd w:id="2"/>
      <w:r>
        <w:rPr/>
        <w:t>Введение</w:t>
      </w:r>
    </w:p>
    <w:p>
      <w:pPr>
        <w:pStyle w:val="Heading2"/>
        <w:rPr/>
      </w:pPr>
      <w:bookmarkStart w:id="3" w:name="__RefHeading___Toc2355_1869876486"/>
      <w:bookmarkStart w:id="4" w:name="назначение-документа"/>
      <w:bookmarkEnd w:id="3"/>
      <w:r>
        <w:rPr/>
        <w:t>Назначение документа</w:t>
      </w:r>
    </w:p>
    <w:p>
      <w:pPr>
        <w:pStyle w:val="FirstParagraph"/>
        <w:rPr/>
      </w:pPr>
      <w:r>
        <w:rPr/>
        <w:t xml:space="preserve">Инструкция описывает установку, настройку, повседневную эксплуатацию и обновление программы </w:t>
      </w:r>
      <w:r>
        <w:rPr>
          <w:b/>
          <w:bCs/>
        </w:rPr>
        <w:t>«СпортГид: цифровая платформа детского спорта»</w:t>
      </w:r>
      <w:r>
        <w:rPr/>
        <w:t xml:space="preserve"> версии 1.0 (далее — Платформа). Документ рассчитан на администратора экземпляра и на эксперта, который проверяет программное обеспечение по архиву исходных текстов или по удалённому стенду.</w:t>
      </w:r>
    </w:p>
    <w:p>
      <w:pPr>
        <w:pStyle w:val="BodyText"/>
        <w:rPr/>
      </w:pPr>
      <w:bookmarkStart w:id="5" w:name="назначение-документа"/>
      <w:r>
        <w:rPr/>
        <w:t>Инструкция не заменяет руководство пользователя: здесь нет пошагового описания каталога для родителя. Здесь — как поднять сервисы, какие переменные задать, как делать резервные копии и что смотреть, если сайт не открывается.</w:t>
      </w:r>
      <w:bookmarkEnd w:id="5"/>
    </w:p>
    <w:p>
      <w:pPr>
        <w:pStyle w:val="Heading2"/>
        <w:rPr/>
      </w:pPr>
      <w:bookmarkStart w:id="6" w:name="__RefHeading___Toc2357_1869876486"/>
      <w:bookmarkStart w:id="7" w:name="модель-развёртывания"/>
      <w:bookmarkEnd w:id="6"/>
      <w:r>
        <w:rPr/>
        <w:t>Модель развёртывания</w:t>
      </w:r>
    </w:p>
    <w:p>
      <w:pPr>
        <w:pStyle w:val="FirstParagraph"/>
        <w:rPr/>
      </w:pPr>
      <w:r>
        <w:rPr/>
        <w:t>Платформа поставляется исходными текстами и собирается в контейнеры Docker. Пользователи работают через браузер. Отдельный установщик для рабочих мест не нужен и не предусмотрен.</w:t>
      </w:r>
    </w:p>
    <w:p>
      <w:pPr>
        <w:pStyle w:val="BodyText"/>
        <w:rPr/>
      </w:pPr>
      <w:r>
        <w:rPr/>
        <w:t>Две типовые схемы:</w:t>
      </w:r>
    </w:p>
    <w:p>
      <w:pPr>
        <w:pStyle w:val="BodyText"/>
        <w:rPr/>
      </w:pPr>
      <w:r>
        <w:rPr>
          <w:b/>
          <w:bCs/>
        </w:rPr>
        <w:t>Стенд экспертизы и разработки.</w:t>
      </w:r>
      <w:r>
        <w:rPr/>
        <w:t xml:space="preserve"> Файл </w:t>
      </w:r>
      <w:r>
        <w:rPr>
          <w:rStyle w:val="VerbatimChar"/>
        </w:rPr>
        <w:t>docker-compose.yml</w:t>
      </w:r>
      <w:r>
        <w:rPr/>
        <w:t xml:space="preserve"> в корне поставки поднимает базу данных PostGIS, Redis, API, воркер фоновых задач и сайт. Порты публикуются на локальный хост. Это тот контур, с которого эксперт начинает проверку экземпляра.</w:t>
      </w:r>
    </w:p>
    <w:p>
      <w:pPr>
        <w:pStyle w:val="BodyText"/>
        <w:rPr/>
      </w:pPr>
      <w:r>
        <w:rPr>
          <w:b/>
          <w:bCs/>
        </w:rPr>
        <w:t>Промышленный контур.</w:t>
      </w:r>
      <w:r>
        <w:rPr/>
        <w:t xml:space="preserve"> Файл </w:t>
      </w:r>
      <w:r>
        <w:rPr>
          <w:rStyle w:val="VerbatimChar"/>
        </w:rPr>
        <w:t>deploy/docker-compose.prod.yml</w:t>
      </w:r>
      <w:r>
        <w:rPr/>
        <w:t xml:space="preserve"> использует уже собранные образы. Снаружи стоят nginx и TLS. Медиафайлы уходят в объектное хранилище. На самом сервере образы не собираются: он только загружает артефакты, собранные на раннере в Российской Федерации.</w:t>
      </w:r>
    </w:p>
    <w:p>
      <w:pPr>
        <w:pStyle w:val="BodyText"/>
        <w:rPr/>
      </w:pPr>
      <w:bookmarkStart w:id="8" w:name="модель-развёртывания"/>
      <w:r>
        <w:rPr/>
        <w:t>Обе схемы используют одни и те же приложения Django и Nuxt. Различаются сеть, секреты и способ доставки объектного кода.</w:t>
      </w:r>
      <w:bookmarkEnd w:id="8"/>
    </w:p>
    <w:p>
      <w:pPr>
        <w:pStyle w:val="Heading1"/>
        <w:rPr/>
      </w:pPr>
      <w:bookmarkStart w:id="9" w:name="__RefHeading___Toc2359_1869876486"/>
      <w:bookmarkStart w:id="10" w:name="системные-требования"/>
      <w:bookmarkEnd w:id="9"/>
      <w:r>
        <w:rPr/>
        <w:t>Системные требования</w:t>
      </w:r>
    </w:p>
    <w:p>
      <w:pPr>
        <w:pStyle w:val="Heading2"/>
        <w:rPr/>
      </w:pPr>
      <w:bookmarkStart w:id="11" w:name="__RefHeading___Toc2361_1869876486"/>
      <w:bookmarkStart w:id="12" w:name="стенд-для-проверки-экземпляра"/>
      <w:bookmarkEnd w:id="11"/>
      <w:r>
        <w:rPr/>
        <w:t>Стенд для проверки экземпляра</w:t>
      </w:r>
    </w:p>
    <w:p>
      <w:pPr>
        <w:pStyle w:val="FirstParagraph"/>
        <w:rPr/>
      </w:pPr>
      <w:r>
        <w:rPr/>
        <w:t>Минимальные требования относятся к машине, на которой эксперт или администратор поднимает Docker Compose из архива исходных текстов.</w:t>
      </w:r>
    </w:p>
    <w:tbl>
      <w:tblPr>
        <w:tblStyle w:val="Table"/>
        <w:tblW w:w="5000" w:type="pct"/>
        <w:jc w:val="left"/>
        <w:tblInd w:w="113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020" w:noHBand="0" w:noVBand="0" w:firstColumn="0" w:lastRow="0" w:lastColumn="0" w:firstRow="1"/>
      </w:tblPr>
      <w:tblGrid>
        <w:gridCol w:w="4157"/>
        <w:gridCol w:w="5197"/>
      </w:tblGrid>
      <w:tr>
        <w:trPr>
          <w:tblHeader w:val="true"/>
        </w:trPr>
        <w:tc>
          <w:tcPr>
            <w:tcW w:w="4157" w:type="dxa"/>
            <w:tcBorders>
              <w:bottom w:val="single" w:sz="6" w:space="0" w:color="000000"/>
            </w:tcBorders>
            <w:shd w:color="auto" w:fill="EFEBF5" w:val="clear"/>
            <w:vAlign w:val="bottom"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b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Ресурс</w:t>
            </w:r>
          </w:p>
        </w:tc>
        <w:tc>
          <w:tcPr>
            <w:tcW w:w="5197" w:type="dxa"/>
            <w:tcBorders>
              <w:bottom w:val="single" w:sz="6" w:space="0" w:color="000000"/>
            </w:tcBorders>
            <w:shd w:color="auto" w:fill="EFEBF5" w:val="clear"/>
            <w:vAlign w:val="bottom"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b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Значение</w:t>
            </w:r>
          </w:p>
        </w:tc>
      </w:tr>
      <w:tr>
        <w:trPr/>
        <w:tc>
          <w:tcPr>
            <w:tcW w:w="415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Операционная система</w:t>
            </w:r>
          </w:p>
        </w:tc>
        <w:tc>
          <w:tcPr>
            <w:tcW w:w="519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GNU/Linux (64-bit) либо macOS для локального стенда</w:t>
            </w:r>
          </w:p>
        </w:tc>
      </w:tr>
      <w:tr>
        <w:trPr/>
        <w:tc>
          <w:tcPr>
            <w:tcW w:w="415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Процессор</w:t>
            </w:r>
          </w:p>
        </w:tc>
        <w:tc>
          <w:tcPr>
            <w:tcW w:w="519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2 ядра</w:t>
            </w:r>
          </w:p>
        </w:tc>
      </w:tr>
      <w:tr>
        <w:trPr/>
        <w:tc>
          <w:tcPr>
            <w:tcW w:w="415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Оперативная память</w:t>
            </w:r>
          </w:p>
        </w:tc>
        <w:tc>
          <w:tcPr>
            <w:tcW w:w="519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4 ГБ</w:t>
            </w:r>
          </w:p>
        </w:tc>
      </w:tr>
      <w:tr>
        <w:trPr/>
        <w:tc>
          <w:tcPr>
            <w:tcW w:w="415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Диск</w:t>
            </w:r>
          </w:p>
        </w:tc>
        <w:tc>
          <w:tcPr>
            <w:tcW w:w="519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20 ГБ свободного места</w:t>
            </w:r>
          </w:p>
        </w:tc>
      </w:tr>
      <w:tr>
        <w:trPr/>
        <w:tc>
          <w:tcPr>
            <w:tcW w:w="415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Программное обеспечение</w:t>
            </w:r>
          </w:p>
        </w:tc>
        <w:tc>
          <w:tcPr>
            <w:tcW w:w="519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Docker Engine и Docker Compose</w:t>
            </w:r>
          </w:p>
        </w:tc>
      </w:tr>
    </w:tbl>
    <w:p>
      <w:pPr>
        <w:pStyle w:val="BodyText"/>
        <w:rPr/>
      </w:pPr>
      <w:bookmarkStart w:id="13" w:name="стенд-для-проверки-экземпляра"/>
      <w:r>
        <w:rPr/>
        <w:t>На машине с меньшим объёмом памяти контейнеры могут стартовать, но сборка образа сайта и первый запуск Nuxt занимают заметно больше времени.</w:t>
      </w:r>
      <w:bookmarkEnd w:id="13"/>
    </w:p>
    <w:p>
      <w:pPr>
        <w:pStyle w:val="Heading2"/>
        <w:rPr/>
      </w:pPr>
      <w:bookmarkStart w:id="14" w:name="__RefHeading___Toc2363_1869876486"/>
      <w:bookmarkStart w:id="15" w:name="промышленный-контур"/>
      <w:bookmarkEnd w:id="14"/>
      <w:r>
        <w:rPr/>
        <w:t>Промышленный контур</w:t>
      </w:r>
    </w:p>
    <w:p>
      <w:pPr>
        <w:pStyle w:val="FirstParagraph"/>
        <w:rPr/>
      </w:pPr>
      <w:bookmarkStart w:id="16" w:name="промышленный-контур"/>
      <w:r>
        <w:rPr/>
        <w:t>Ресурсы промышленного сервера зависят от нагрузки. Ориентир для версии 1.0: 4 vCPU, 8 ГБ оперативной памяти, SSD. Сервер размещается в дата-центре на территории Российской Федерации (хостинг Selectel).</w:t>
      </w:r>
      <w:bookmarkEnd w:id="16"/>
    </w:p>
    <w:p>
      <w:pPr>
        <w:pStyle w:val="Heading2"/>
        <w:rPr/>
      </w:pPr>
      <w:bookmarkStart w:id="17" w:name="__RefHeading___Toc2365_1869876486"/>
      <w:bookmarkStart w:id="18" w:name="компоненты-программного-обеспечения"/>
      <w:bookmarkEnd w:id="17"/>
      <w:r>
        <w:rPr/>
        <w:t>Компоненты программного обеспечения</w:t>
      </w:r>
    </w:p>
    <w:tbl>
      <w:tblPr>
        <w:tblStyle w:val="Table"/>
        <w:tblW w:w="5000" w:type="pct"/>
        <w:jc w:val="left"/>
        <w:tblInd w:w="113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020" w:noHBand="0" w:noVBand="0" w:firstColumn="0" w:lastRow="0" w:lastColumn="0" w:firstRow="1"/>
      </w:tblPr>
      <w:tblGrid>
        <w:gridCol w:w="3675"/>
        <w:gridCol w:w="5679"/>
      </w:tblGrid>
      <w:tr>
        <w:trPr>
          <w:tblHeader w:val="true"/>
        </w:trPr>
        <w:tc>
          <w:tcPr>
            <w:tcW w:w="3675" w:type="dxa"/>
            <w:tcBorders>
              <w:bottom w:val="single" w:sz="6" w:space="0" w:color="000000"/>
            </w:tcBorders>
            <w:shd w:color="auto" w:fill="EFEBF5" w:val="clear"/>
            <w:vAlign w:val="bottom"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b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Компонент</w:t>
            </w:r>
          </w:p>
        </w:tc>
        <w:tc>
          <w:tcPr>
            <w:tcW w:w="5679" w:type="dxa"/>
            <w:tcBorders>
              <w:bottom w:val="single" w:sz="6" w:space="0" w:color="000000"/>
            </w:tcBorders>
            <w:shd w:color="auto" w:fill="EFEBF5" w:val="clear"/>
            <w:vAlign w:val="bottom"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b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Версия / состав</w:t>
            </w:r>
          </w:p>
        </w:tc>
      </w:tr>
      <w:tr>
        <w:trPr/>
        <w:tc>
          <w:tcPr>
            <w:tcW w:w="3675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Серверная часть</w:t>
            </w:r>
          </w:p>
        </w:tc>
        <w:tc>
          <w:tcPr>
            <w:tcW w:w="5679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Python 3.13, Django 6, Django REST Framework, GeoDjango, Celery, gunicorn</w:t>
            </w:r>
          </w:p>
        </w:tc>
      </w:tr>
      <w:tr>
        <w:trPr/>
        <w:tc>
          <w:tcPr>
            <w:tcW w:w="3675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Сайт</w:t>
            </w:r>
          </w:p>
        </w:tc>
        <w:tc>
          <w:tcPr>
            <w:tcW w:w="5679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Nuxt 4, Vue 3, TypeScript</w:t>
            </w:r>
          </w:p>
        </w:tc>
      </w:tr>
      <w:tr>
        <w:trPr/>
        <w:tc>
          <w:tcPr>
            <w:tcW w:w="3675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СУБД</w:t>
            </w:r>
          </w:p>
        </w:tc>
        <w:tc>
          <w:tcPr>
            <w:tcW w:w="5679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PostgreSQL 17 с PostGIS 3.5</w:t>
            </w:r>
          </w:p>
        </w:tc>
      </w:tr>
      <w:tr>
        <w:trPr/>
        <w:tc>
          <w:tcPr>
            <w:tcW w:w="3675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Кэш и брокер очередей</w:t>
            </w:r>
          </w:p>
        </w:tc>
        <w:tc>
          <w:tcPr>
            <w:tcW w:w="5679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Redis 8</w:t>
            </w:r>
          </w:p>
        </w:tc>
      </w:tr>
      <w:tr>
        <w:trPr/>
        <w:tc>
          <w:tcPr>
            <w:tcW w:w="3675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Веб-сервер (промышленный контур)</w:t>
            </w:r>
          </w:p>
        </w:tc>
        <w:tc>
          <w:tcPr>
            <w:tcW w:w="5679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nginx, TLS (Let’s Encrypt)</w:t>
            </w:r>
          </w:p>
        </w:tc>
      </w:tr>
    </w:tbl>
    <w:p>
      <w:pPr>
        <w:pStyle w:val="BodyText"/>
        <w:rPr/>
      </w:pPr>
      <w:r>
        <w:rPr/>
        <w:t xml:space="preserve">Версии зафиксированы в файлах поставки: </w:t>
      </w:r>
      <w:r>
        <w:rPr>
          <w:rStyle w:val="VerbatimChar"/>
        </w:rPr>
        <w:t>api/requirements.txt</w:t>
      </w:r>
      <w:r>
        <w:rPr/>
        <w:t xml:space="preserve">, </w:t>
      </w:r>
      <w:r>
        <w:rPr>
          <w:rStyle w:val="VerbatimChar"/>
        </w:rPr>
        <w:t>web/package.json</w:t>
      </w:r>
      <w:r>
        <w:rPr/>
        <w:t xml:space="preserve">, </w:t>
      </w:r>
      <w:r>
        <w:rPr>
          <w:rStyle w:val="VerbatimChar"/>
        </w:rPr>
        <w:t>docker-compose.yml</w:t>
      </w:r>
      <w:r>
        <w:rPr/>
        <w:t>.</w:t>
      </w:r>
      <w:bookmarkEnd w:id="18"/>
    </w:p>
    <w:p>
      <w:pPr>
        <w:pStyle w:val="Heading2"/>
        <w:rPr/>
      </w:pPr>
      <w:bookmarkStart w:id="19" w:name="__RefHeading___Toc2367_1869876486"/>
      <w:bookmarkStart w:id="20" w:name="сетевые-порты-стенда"/>
      <w:bookmarkEnd w:id="19"/>
      <w:r>
        <w:rPr/>
        <w:t>Сетевые порты стенда</w:t>
      </w:r>
    </w:p>
    <w:tbl>
      <w:tblPr>
        <w:tblStyle w:val="Table"/>
        <w:tblW w:w="7920" w:type="dxa"/>
        <w:jc w:val="left"/>
        <w:tblInd w:w="113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020" w:noHBand="0" w:noVBand="0" w:firstColumn="0" w:lastRow="0" w:lastColumn="0" w:firstRow="1"/>
      </w:tblPr>
      <w:tblGrid>
        <w:gridCol w:w="3960"/>
        <w:gridCol w:w="3959"/>
      </w:tblGrid>
      <w:tr>
        <w:trPr>
          <w:tblHeader w:val="true"/>
        </w:trPr>
        <w:tc>
          <w:tcPr>
            <w:tcW w:w="3960" w:type="dxa"/>
            <w:tcBorders>
              <w:bottom w:val="single" w:sz="6" w:space="0" w:color="000000"/>
            </w:tcBorders>
            <w:shd w:color="auto" w:fill="EFEBF5" w:val="clear"/>
            <w:vAlign w:val="bottom"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b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Порт</w:t>
            </w:r>
          </w:p>
        </w:tc>
        <w:tc>
          <w:tcPr>
            <w:tcW w:w="3959" w:type="dxa"/>
            <w:tcBorders>
              <w:bottom w:val="single" w:sz="6" w:space="0" w:color="000000"/>
            </w:tcBorders>
            <w:shd w:color="auto" w:fill="EFEBF5" w:val="clear"/>
            <w:vAlign w:val="bottom"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b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Сервис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3000</w:t>
            </w:r>
          </w:p>
        </w:tc>
        <w:tc>
          <w:tcPr>
            <w:tcW w:w="3959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Сайт (Nuxt)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8000</w:t>
            </w:r>
          </w:p>
        </w:tc>
        <w:tc>
          <w:tcPr>
            <w:tcW w:w="3959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API и бэкофис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5433 (хост) → 5432</w:t>
            </w:r>
          </w:p>
        </w:tc>
        <w:tc>
          <w:tcPr>
            <w:tcW w:w="3959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PostgreSQL (только для отладки с хоста)</w:t>
            </w:r>
          </w:p>
        </w:tc>
      </w:tr>
    </w:tbl>
    <w:p>
      <w:pPr>
        <w:pStyle w:val="BodyText"/>
        <w:rPr/>
      </w:pPr>
      <w:bookmarkStart w:id="21" w:name="сетевые-порты-стенда"/>
      <w:r>
        <w:rPr/>
        <w:t>На промышленном контуре наружу открываются порты 80 и 443. Порт базы данных на хост не публикуется.</w:t>
      </w:r>
      <w:bookmarkEnd w:id="21"/>
    </w:p>
    <w:p>
      <w:pPr>
        <w:pStyle w:val="Heading2"/>
        <w:rPr/>
      </w:pPr>
      <w:bookmarkStart w:id="22" w:name="__RefHeading___Toc2369_1869876486"/>
      <w:bookmarkStart w:id="23" w:name="клиентское-рабочее-место"/>
      <w:bookmarkEnd w:id="22"/>
      <w:r>
        <w:rPr/>
        <w:t>Клиентское рабочее место</w:t>
      </w:r>
    </w:p>
    <w:p>
      <w:pPr>
        <w:pStyle w:val="FirstParagraph"/>
        <w:rPr/>
      </w:pPr>
      <w:r>
        <w:rPr/>
        <w:t>Достаточно современного браузера с поддержкой HTTPS. Интерфейс не зависит от конкретной операционной системы рабочего места. Он открывается в браузерах на российских ОС (Astra Linux, РЕД ОС, Альт, РОСА) при наличии графической среды и браузера.</w:t>
      </w:r>
    </w:p>
    <w:p>
      <w:pPr>
        <w:pStyle w:val="BodyText"/>
        <w:rPr/>
      </w:pPr>
      <w:bookmarkStart w:id="24" w:name="системные-требования"/>
      <w:bookmarkStart w:id="25" w:name="клиентское-рабочее-место"/>
      <w:r>
        <w:rPr/>
        <w:t>Требование совместимости отраслевого прикладного ПО с двумя доверенными операционными системами применяется с 01.06.2027. Веб-клиент Платформы к конкретной ОС не привязан.</w:t>
      </w:r>
      <w:bookmarkEnd w:id="24"/>
      <w:bookmarkEnd w:id="25"/>
    </w:p>
    <w:p>
      <w:pPr>
        <w:pStyle w:val="Heading1"/>
        <w:rPr/>
      </w:pPr>
      <w:bookmarkStart w:id="26" w:name="__RefHeading___Toc2371_1869876486"/>
      <w:bookmarkStart w:id="27" w:name="установка-стенда"/>
      <w:bookmarkEnd w:id="26"/>
      <w:r>
        <w:rPr/>
        <w:t>Установка стенда</w:t>
      </w:r>
    </w:p>
    <w:p>
      <w:pPr>
        <w:pStyle w:val="FirstParagraph"/>
        <w:rPr/>
      </w:pPr>
      <w:r>
        <w:rPr/>
        <w:t>Ниже — развёртывание из архива исходных текстов или из репозитория. Нужны Docker Engine и Docker Compose. Команды приведены для Unix-подобной оболочки.</w:t>
      </w:r>
    </w:p>
    <w:p>
      <w:pPr>
        <w:pStyle w:val="Heading2"/>
        <w:rPr/>
      </w:pPr>
      <w:bookmarkStart w:id="28" w:name="__RefHeading___Toc2373_1869876486"/>
      <w:bookmarkStart w:id="29" w:name="подготовка"/>
      <w:bookmarkEnd w:id="28"/>
      <w:r>
        <w:rPr/>
        <w:t>Подготовка</w:t>
      </w:r>
    </w:p>
    <w:p>
      <w:pPr>
        <w:pStyle w:val="Normal"/>
        <w:numPr>
          <w:ilvl w:val="0"/>
          <w:numId w:val="13"/>
        </w:numPr>
        <w:rPr/>
      </w:pPr>
      <w:r>
        <w:rPr/>
        <w:t xml:space="preserve">Распаковать архив </w:t>
      </w:r>
      <w:r>
        <w:rPr>
          <w:rStyle w:val="VerbatimChar"/>
        </w:rPr>
        <w:t>SPORTGID-1.0-source.zip</w:t>
      </w:r>
      <w:r>
        <w:rPr/>
        <w:t xml:space="preserve"> либо клонировать репозиторий. Исходный текст для заявления в реестр дополнительно поставляется файлом </w:t>
      </w:r>
      <w:r>
        <w:rPr>
          <w:rStyle w:val="VerbatimChar"/>
        </w:rPr>
        <w:t>SPORTGID-1.0-source.pdf</w:t>
      </w:r>
      <w:r>
        <w:rPr/>
        <w:t xml:space="preserve"> (PDF/A-2b); для запуска стенда нужен именно архив с файлами, а не PDF.</w:t>
      </w:r>
    </w:p>
    <w:p>
      <w:pPr>
        <w:pStyle w:val="Normal"/>
        <w:numPr>
          <w:ilvl w:val="0"/>
          <w:numId w:val="1"/>
        </w:numPr>
        <w:rPr/>
      </w:pPr>
      <w:r>
        <w:rPr/>
        <w:t>Перейти в корневой каталог поставки и скопировать образец переменных окружения:</w:t>
      </w:r>
    </w:p>
    <w:p>
      <w:pPr>
        <w:pStyle w:val="SourceCode"/>
        <w:rPr/>
      </w:pPr>
      <w:r>
        <w:rPr>
          <w:rStyle w:val="FunctionTok"/>
        </w:rPr>
        <w:t>cp</w:t>
      </w:r>
      <w:r>
        <w:rPr>
          <w:rStyle w:val="NormalTok"/>
        </w:rPr>
        <w:t xml:space="preserve"> .env.example .env</w:t>
      </w:r>
    </w:p>
    <w:p>
      <w:pPr>
        <w:pStyle w:val="Compact"/>
        <w:numPr>
          <w:ilvl w:val="0"/>
          <w:numId w:val="14"/>
        </w:numPr>
        <w:rPr/>
      </w:pPr>
      <w:r>
        <w:rPr/>
        <w:t xml:space="preserve">Задать в </w:t>
      </w:r>
      <w:r>
        <w:rPr>
          <w:rStyle w:val="VerbatimChar"/>
        </w:rPr>
        <w:t>.env</w:t>
      </w:r>
      <w:r>
        <w:rPr/>
        <w:t xml:space="preserve"> как минимум </w:t>
      </w:r>
      <w:r>
        <w:rPr>
          <w:rStyle w:val="VerbatimChar"/>
        </w:rPr>
        <w:t>DJANGO_SECRET_KEY</w:t>
      </w:r>
      <w:r>
        <w:rPr/>
        <w:t xml:space="preserve"> — длинную случайную строку. Для локального стенда остальные значения из </w:t>
      </w:r>
      <w:r>
        <w:rPr>
          <w:rStyle w:val="VerbatimChar"/>
        </w:rPr>
        <w:t>.env.example</w:t>
      </w:r>
      <w:r>
        <w:rPr/>
        <w:t xml:space="preserve"> допустимы: база </w:t>
      </w:r>
      <w:r>
        <w:rPr>
          <w:rStyle w:val="VerbatimChar"/>
        </w:rPr>
        <w:t>sportguide</w:t>
      </w:r>
      <w:r>
        <w:rPr/>
        <w:t>, Redis внутри docker-сети, сайт на порту 3000. Секреты промышленных контуров в архив не входят и не должны туда попадать.</w:t>
      </w:r>
      <w:bookmarkEnd w:id="29"/>
    </w:p>
    <w:p>
      <w:pPr>
        <w:pStyle w:val="Heading2"/>
        <w:rPr/>
      </w:pPr>
      <w:bookmarkStart w:id="30" w:name="__RefHeading___Toc2375_1869876486"/>
      <w:bookmarkStart w:id="31" w:name="запуск"/>
      <w:bookmarkEnd w:id="30"/>
      <w:r>
        <w:rPr/>
        <w:t>Запуск</w:t>
      </w:r>
    </w:p>
    <w:p>
      <w:pPr>
        <w:pStyle w:val="SourceCode"/>
        <w:rPr/>
      </w:pPr>
      <w:r>
        <w:rPr>
          <w:rStyle w:val="ExtensionTok"/>
        </w:rPr>
        <w:t>docker</w:t>
      </w:r>
      <w:r>
        <w:rPr>
          <w:rStyle w:val="NormalTok"/>
        </w:rPr>
        <w:t xml:space="preserve"> compose up </w:t>
      </w:r>
      <w:r>
        <w:rPr>
          <w:rStyle w:val="AttributeTok"/>
        </w:rPr>
        <w:t>-d</w:t>
      </w:r>
      <w:r>
        <w:rPr>
          <w:rStyle w:val="NormalTok"/>
        </w:rPr>
        <w:t xml:space="preserve"> </w:t>
      </w:r>
      <w:r>
        <w:rPr>
          <w:rStyle w:val="AttributeTok"/>
        </w:rPr>
        <w:t>--build</w:t>
      </w:r>
    </w:p>
    <w:p>
      <w:pPr>
        <w:pStyle w:val="FirstParagraph"/>
        <w:rPr/>
      </w:pPr>
      <w:r>
        <w:rPr/>
        <w:t>Команда собирает образы API и сайта, создаёт сеть и тома, запускает контейнеры. Первый запуск занимает больше времени из-за загрузки базовых образов и установки зависимостей Node.</w:t>
      </w:r>
    </w:p>
    <w:p>
      <w:pPr>
        <w:pStyle w:val="BodyText"/>
        <w:rPr/>
      </w:pPr>
      <w:r>
        <w:rPr/>
        <w:t>После старта доступны:</w:t>
      </w:r>
    </w:p>
    <w:p>
      <w:pPr>
        <w:pStyle w:val="Compact"/>
        <w:numPr>
          <w:ilvl w:val="0"/>
          <w:numId w:val="3"/>
        </w:numPr>
        <w:rPr/>
      </w:pPr>
      <w:r>
        <w:rPr/>
        <w:t>http://localhost:3000 — публичный сайт;</w:t>
      </w:r>
    </w:p>
    <w:p>
      <w:pPr>
        <w:pStyle w:val="Compact"/>
        <w:numPr>
          <w:ilvl w:val="0"/>
          <w:numId w:val="3"/>
        </w:numPr>
        <w:rPr/>
      </w:pPr>
      <w:r>
        <w:rPr/>
        <w:t>http://localhost:8000/api/health/ — проверка API (ожидается успешный HTTP-ответ);</w:t>
      </w:r>
    </w:p>
    <w:p>
      <w:pPr>
        <w:pStyle w:val="Compact"/>
        <w:numPr>
          <w:ilvl w:val="0"/>
          <w:numId w:val="3"/>
        </w:numPr>
        <w:rPr/>
      </w:pPr>
      <w:r>
        <w:rPr/>
        <w:t>http://localhost:8000/admin/ — бэкофис;</w:t>
      </w:r>
    </w:p>
    <w:p>
      <w:pPr>
        <w:pStyle w:val="Compact"/>
        <w:numPr>
          <w:ilvl w:val="0"/>
          <w:numId w:val="3"/>
        </w:numPr>
        <w:rPr/>
      </w:pPr>
      <w:bookmarkStart w:id="32" w:name="запуск"/>
      <w:r>
        <w:rPr/>
        <w:t>http://localhost:8000/api/docs/ — машиночитаемое описание HTTP API.</w:t>
      </w:r>
      <w:bookmarkEnd w:id="32"/>
    </w:p>
    <w:p>
      <w:pPr>
        <w:pStyle w:val="Heading2"/>
        <w:rPr/>
      </w:pPr>
      <w:bookmarkStart w:id="33" w:name="__RefHeading___Toc2377_1869876486"/>
      <w:bookmarkStart w:id="34" w:name="первичная-настройка-базы-данных"/>
      <w:bookmarkEnd w:id="33"/>
      <w:r>
        <w:rPr/>
        <w:t>Первичная настройка базы данных</w:t>
      </w:r>
    </w:p>
    <w:p>
      <w:pPr>
        <w:pStyle w:val="FirstParagraph"/>
        <w:rPr/>
      </w:pPr>
      <w:r>
        <w:rPr/>
        <w:t xml:space="preserve">Контейнер </w:t>
      </w:r>
      <w:r>
        <w:rPr>
          <w:rStyle w:val="VerbatimChar"/>
        </w:rPr>
        <w:t>api</w:t>
      </w:r>
      <w:r>
        <w:rPr/>
        <w:t xml:space="preserve"> при старте промышленного контура выполняет миграции сам. На стенде их надёжнее вызвать явно после того, как база приняла соединения:</w:t>
      </w:r>
    </w:p>
    <w:p>
      <w:pPr>
        <w:pStyle w:val="SourceCode"/>
        <w:rPr/>
      </w:pPr>
      <w:r>
        <w:rPr>
          <w:rStyle w:val="ExtensionTok"/>
        </w:rPr>
        <w:t>docker</w:t>
      </w:r>
      <w:r>
        <w:rPr>
          <w:rStyle w:val="NormalTok"/>
        </w:rPr>
        <w:t xml:space="preserve"> compose exec api python manage.py migrate</w:t>
      </w:r>
      <w:r>
        <w:rPr/>
        <w:br/>
      </w:r>
      <w:r>
        <w:rPr>
          <w:rStyle w:val="ExtensionTok"/>
        </w:rPr>
        <w:t>docker</w:t>
      </w:r>
      <w:r>
        <w:rPr>
          <w:rStyle w:val="NormalTok"/>
        </w:rPr>
        <w:t xml:space="preserve"> compose exec api python manage.py createsuperuser</w:t>
      </w:r>
      <w:r>
        <w:rPr/>
        <w:br/>
      </w:r>
      <w:r>
        <w:rPr>
          <w:rStyle w:val="ExtensionTok"/>
        </w:rPr>
        <w:t>docker</w:t>
      </w:r>
      <w:r>
        <w:rPr>
          <w:rStyle w:val="NormalTok"/>
        </w:rPr>
        <w:t xml:space="preserve"> compose exec api python manage.py seed_reference</w:t>
      </w:r>
    </w:p>
    <w:p>
      <w:pPr>
        <w:pStyle w:val="FirstParagraph"/>
        <w:rPr/>
      </w:pPr>
      <w:r>
        <w:rPr/>
        <w:t xml:space="preserve">Команда </w:t>
      </w:r>
      <w:r>
        <w:rPr>
          <w:rStyle w:val="VerbatimChar"/>
        </w:rPr>
        <w:t>createsuperuser</w:t>
      </w:r>
      <w:r>
        <w:rPr/>
        <w:t xml:space="preserve"> запросит электронную почту и пароль администратора. Этой учётной записью эксперт входит в бэкофис.</w:t>
      </w:r>
    </w:p>
    <w:p>
      <w:pPr>
        <w:pStyle w:val="BodyText"/>
        <w:rPr/>
      </w:pPr>
      <w:r>
        <w:rPr/>
        <w:t xml:space="preserve">Команда </w:t>
      </w:r>
      <w:r>
        <w:rPr>
          <w:rStyle w:val="VerbatimChar"/>
        </w:rPr>
        <w:t>seed_reference</w:t>
      </w:r>
      <w:r>
        <w:rPr/>
        <w:t xml:space="preserve"> загружает справочники: виды спорта, города, начальные тарифы. Без неё каталог технически работает, но фильтры и демо-сценарии пусты.</w:t>
      </w:r>
      <w:bookmarkEnd w:id="34"/>
    </w:p>
    <w:p>
      <w:pPr>
        <w:pStyle w:val="Heading2"/>
        <w:rPr/>
      </w:pPr>
      <w:bookmarkStart w:id="35" w:name="__RefHeading___Toc2379_1869876486"/>
      <w:bookmarkStart w:id="36" w:name="перезапуск-сервиса"/>
      <w:bookmarkEnd w:id="35"/>
      <w:r>
        <w:rPr/>
        <w:t>Перезапуск сервиса</w:t>
      </w:r>
    </w:p>
    <w:p>
      <w:pPr>
        <w:pStyle w:val="FirstParagraph"/>
        <w:rPr/>
      </w:pPr>
      <w:r>
        <w:rPr/>
        <w:t>Если изменены исходные тексты или переменные окружения, контейнер перезапускают с полной пересборкой:</w:t>
      </w:r>
    </w:p>
    <w:p>
      <w:pPr>
        <w:pStyle w:val="SourceCode"/>
        <w:rPr/>
      </w:pPr>
      <w:r>
        <w:rPr>
          <w:rStyle w:val="ExtensionTok"/>
        </w:rPr>
        <w:t>docker</w:t>
      </w:r>
      <w:r>
        <w:rPr>
          <w:rStyle w:val="NormalTok"/>
        </w:rPr>
        <w:t xml:space="preserve"> compose up </w:t>
      </w:r>
      <w:r>
        <w:rPr>
          <w:rStyle w:val="AttributeTok"/>
        </w:rPr>
        <w:t>-d</w:t>
      </w:r>
      <w:r>
        <w:rPr>
          <w:rStyle w:val="NormalTok"/>
        </w:rPr>
        <w:t xml:space="preserve"> </w:t>
      </w:r>
      <w:r>
        <w:rPr>
          <w:rStyle w:val="AttributeTok"/>
        </w:rPr>
        <w:t>--build</w:t>
      </w:r>
      <w:r>
        <w:rPr>
          <w:rStyle w:val="NormalTok"/>
        </w:rPr>
        <w:t xml:space="preserve"> </w:t>
      </w:r>
      <w:r>
        <w:rPr>
          <w:rStyle w:val="AttributeTok"/>
        </w:rPr>
        <w:t>--force-recreate</w:t>
      </w:r>
      <w:r>
        <w:rPr>
          <w:rStyle w:val="NormalTok"/>
        </w:rPr>
        <w:t xml:space="preserve"> api</w:t>
      </w:r>
    </w:p>
    <w:p>
      <w:pPr>
        <w:pStyle w:val="FirstParagraph"/>
        <w:rPr/>
      </w:pPr>
      <w:r>
        <w:rPr/>
        <w:t xml:space="preserve">Имя сервиса заменяют на </w:t>
      </w:r>
      <w:r>
        <w:rPr>
          <w:rStyle w:val="VerbatimChar"/>
        </w:rPr>
        <w:t>web</w:t>
      </w:r>
      <w:r>
        <w:rPr/>
        <w:t xml:space="preserve">, </w:t>
      </w:r>
      <w:r>
        <w:rPr>
          <w:rStyle w:val="VerbatimChar"/>
        </w:rPr>
        <w:t>worker</w:t>
      </w:r>
      <w:r>
        <w:rPr/>
        <w:t xml:space="preserve"> и другие по необходимости. Короткий </w:t>
      </w:r>
      <w:r>
        <w:rPr>
          <w:rStyle w:val="VerbatimChar"/>
        </w:rPr>
        <w:t>restart</w:t>
      </w:r>
      <w:r>
        <w:rPr/>
        <w:t xml:space="preserve"> без </w:t>
      </w:r>
      <w:r>
        <w:rPr>
          <w:rStyle w:val="VerbatimChar"/>
        </w:rPr>
        <w:t>--build</w:t>
      </w:r>
      <w:r>
        <w:rPr/>
        <w:t xml:space="preserve"> не подхватывает изменения кода в образе.</w:t>
      </w:r>
      <w:bookmarkEnd w:id="36"/>
    </w:p>
    <w:p>
      <w:pPr>
        <w:pStyle w:val="Heading2"/>
        <w:rPr/>
      </w:pPr>
      <w:bookmarkStart w:id="37" w:name="__RefHeading___Toc2381_1869876486"/>
      <w:bookmarkStart w:id="38" w:name="промышленный-контур-1"/>
      <w:bookmarkEnd w:id="37"/>
      <w:r>
        <w:rPr/>
        <w:t>Промышленный контур</w:t>
      </w:r>
    </w:p>
    <w:p>
      <w:pPr>
        <w:pStyle w:val="FirstParagraph"/>
        <w:rPr/>
      </w:pPr>
      <w:r>
        <w:rPr/>
        <w:t xml:space="preserve">Краткий порядок (подробности — в каталоге </w:t>
      </w:r>
      <w:r>
        <w:rPr>
          <w:rStyle w:val="VerbatimChar"/>
        </w:rPr>
        <w:t>deploy/</w:t>
      </w:r>
      <w:r>
        <w:rPr/>
        <w:t>):</w:t>
      </w:r>
    </w:p>
    <w:p>
      <w:pPr>
        <w:pStyle w:val="Compact"/>
        <w:numPr>
          <w:ilvl w:val="0"/>
          <w:numId w:val="15"/>
        </w:numPr>
        <w:rPr/>
      </w:pPr>
      <w:r>
        <w:rPr/>
        <w:t>Подготовить VPS на территории Российской Федерации (хостинг Selectel).</w:t>
      </w:r>
    </w:p>
    <w:p>
      <w:pPr>
        <w:pStyle w:val="Compact"/>
        <w:numPr>
          <w:ilvl w:val="0"/>
          <w:numId w:val="16"/>
        </w:numPr>
        <w:rPr/>
      </w:pPr>
      <w:r>
        <w:rPr/>
        <w:t xml:space="preserve">Выпустить TLS-сертификат скриптом </w:t>
      </w:r>
      <w:r>
        <w:rPr>
          <w:rStyle w:val="VerbatimChar"/>
        </w:rPr>
        <w:t>deploy/issue-cert.sh</w:t>
      </w:r>
      <w:r>
        <w:rPr/>
        <w:t xml:space="preserve"> </w:t>
      </w:r>
      <w:r>
        <w:rPr>
          <w:b/>
          <w:bCs/>
        </w:rPr>
        <w:t>до</w:t>
      </w:r>
      <w:r>
        <w:rPr/>
        <w:t xml:space="preserve"> первого запуска nginx: без сертификата контейнер веб-сервера не стартует.</w:t>
      </w:r>
    </w:p>
    <w:p>
      <w:pPr>
        <w:pStyle w:val="Compact"/>
        <w:numPr>
          <w:ilvl w:val="0"/>
          <w:numId w:val="17"/>
        </w:numPr>
        <w:rPr/>
      </w:pPr>
      <w:r>
        <w:rPr/>
        <w:t xml:space="preserve">Заполнить </w:t>
      </w:r>
      <w:r>
        <w:rPr>
          <w:rStyle w:val="VerbatimChar"/>
        </w:rPr>
        <w:t>.env</w:t>
      </w:r>
      <w:r>
        <w:rPr/>
        <w:t xml:space="preserve"> промышленными значениями (секретный ключ, хосты, почта, бакет медиа, ключи соцвхода при необходимости).</w:t>
      </w:r>
    </w:p>
    <w:p>
      <w:pPr>
        <w:pStyle w:val="Compact"/>
        <w:numPr>
          <w:ilvl w:val="0"/>
          <w:numId w:val="18"/>
        </w:numPr>
        <w:rPr/>
      </w:pPr>
      <w:r>
        <w:rPr/>
        <w:t xml:space="preserve">Выложить готовые образы, собранные CI под архитектуру </w:t>
      </w:r>
      <w:r>
        <w:rPr>
          <w:rStyle w:val="VerbatimChar"/>
        </w:rPr>
        <w:t>linux/amd64</w:t>
      </w:r>
      <w:r>
        <w:rPr/>
        <w:t xml:space="preserve">, джобой </w:t>
      </w:r>
      <w:r>
        <w:rPr>
          <w:rStyle w:val="VerbatimChar"/>
        </w:rPr>
        <w:t>deploy:prod</w:t>
      </w:r>
      <w:r>
        <w:rPr/>
        <w:t>.</w:t>
      </w:r>
    </w:p>
    <w:p>
      <w:pPr>
        <w:pStyle w:val="FirstParagraph"/>
        <w:rPr/>
      </w:pPr>
      <w:r>
        <w:rPr/>
        <w:t xml:space="preserve">На сервере эксплуатации образы </w:t>
      </w:r>
      <w:r>
        <w:rPr>
          <w:b/>
          <w:bCs/>
        </w:rPr>
        <w:t>не собираются</w:t>
      </w:r>
      <w:r>
        <w:rPr/>
        <w:t>. Локальная сборка на рабочей станции разработчика (в том числе на Apple Silicon) не является промышленным артефактом: архитектуры процессоров не совпадают.</w:t>
      </w:r>
      <w:bookmarkEnd w:id="27"/>
      <w:bookmarkEnd w:id="38"/>
    </w:p>
    <w:p>
      <w:pPr>
        <w:pStyle w:val="Heading1"/>
        <w:rPr/>
      </w:pPr>
      <w:bookmarkStart w:id="39" w:name="__RefHeading___Toc2383_1869876486"/>
      <w:bookmarkStart w:id="40" w:name="конфигурирование"/>
      <w:bookmarkEnd w:id="39"/>
      <w:r>
        <w:rPr/>
        <w:t>Конфигурирование</w:t>
      </w:r>
    </w:p>
    <w:p>
      <w:pPr>
        <w:pStyle w:val="FirstParagraph"/>
        <w:rPr/>
      </w:pPr>
      <w:r>
        <w:rPr/>
        <w:t xml:space="preserve">Конфигурация передаётся переменными окружения. Образец — файл </w:t>
      </w:r>
      <w:r>
        <w:rPr>
          <w:rStyle w:val="VerbatimChar"/>
        </w:rPr>
        <w:t>.env.example</w:t>
      </w:r>
      <w:r>
        <w:rPr/>
        <w:t xml:space="preserve"> в корне поставки. Рабочий файл </w:t>
      </w:r>
      <w:r>
        <w:rPr>
          <w:rStyle w:val="VerbatimChar"/>
        </w:rPr>
        <w:t>.env</w:t>
      </w:r>
      <w:r>
        <w:rPr/>
        <w:t xml:space="preserve"> в исходный архив и в систему контроля версий не включается: в нём секреты.</w:t>
      </w:r>
    </w:p>
    <w:p>
      <w:pPr>
        <w:pStyle w:val="BodyText"/>
        <w:rPr/>
      </w:pPr>
      <w:r>
        <w:rPr/>
        <w:t>После изменения переменных соответствующий контейнер перезапускают с пересозданием (</w:t>
      </w:r>
      <w:r>
        <w:rPr>
          <w:rStyle w:val="VerbatimChar"/>
        </w:rPr>
        <w:t>--force-recreate</w:t>
      </w:r>
      <w:r>
        <w:rPr/>
        <w:t>). Переменные, которые читает и сайт, и API (например список провайдеров соцвхода), требуют перезапуска обоих сервисов.</w:t>
      </w:r>
    </w:p>
    <w:p>
      <w:pPr>
        <w:pStyle w:val="Heading2"/>
        <w:rPr/>
      </w:pPr>
      <w:bookmarkStart w:id="41" w:name="__RefHeading___Toc2385_1869876486"/>
      <w:bookmarkStart w:id="42" w:name="группы-параметров"/>
      <w:bookmarkEnd w:id="41"/>
      <w:r>
        <w:rPr/>
        <w:t>Группы параметров</w:t>
      </w:r>
    </w:p>
    <w:p>
      <w:pPr>
        <w:pStyle w:val="FirstParagraph"/>
        <w:rPr/>
      </w:pPr>
      <w:r>
        <w:rPr>
          <w:b/>
          <w:bCs/>
        </w:rPr>
        <w:t>Django.</w:t>
      </w:r>
      <w:r>
        <w:rPr/>
        <w:t xml:space="preserve"> Секретный ключ подписи сессий и CSRF, режим отладки, список разрешённых хостов, CORS и CSRF для доменов сайта и зеркал. На промышленном контуре отладка выключена.</w:t>
      </w:r>
    </w:p>
    <w:p>
      <w:pPr>
        <w:pStyle w:val="BodyText"/>
        <w:rPr/>
      </w:pPr>
      <w:r>
        <w:rPr>
          <w:b/>
          <w:bCs/>
        </w:rPr>
        <w:t>PostgreSQL.</w:t>
      </w:r>
      <w:r>
        <w:rPr/>
        <w:t xml:space="preserve"> Имя базы, пользователь, пароль, хост. В docker-сети хост — имя сервиса </w:t>
      </w:r>
      <w:r>
        <w:rPr>
          <w:rStyle w:val="VerbatimChar"/>
        </w:rPr>
        <w:t>db</w:t>
      </w:r>
      <w:r>
        <w:rPr/>
        <w:t>. На хост для отладки стенда публикуется отдельный порт.</w:t>
      </w:r>
    </w:p>
    <w:p>
      <w:pPr>
        <w:pStyle w:val="BodyText"/>
        <w:rPr/>
      </w:pPr>
      <w:r>
        <w:rPr>
          <w:b/>
          <w:bCs/>
        </w:rPr>
        <w:t>Redis и Celery.</w:t>
      </w:r>
      <w:r>
        <w:rPr/>
        <w:t xml:space="preserve"> URL брокера очередей. Воркер и API должны указывать на один и тот же Redis.</w:t>
      </w:r>
    </w:p>
    <w:p>
      <w:pPr>
        <w:pStyle w:val="BodyText"/>
        <w:rPr/>
      </w:pPr>
      <w:r>
        <w:rPr>
          <w:b/>
          <w:bCs/>
        </w:rPr>
        <w:t>Сайт (Nuxt).</w:t>
      </w:r>
      <w:r>
        <w:rPr/>
        <w:t xml:space="preserve"> Публичный URL экземпляра и база API. В типовой схеме браузер ходит в API через тот же origin, что и сайт (</w:t>
      </w:r>
      <w:r>
        <w:rPr>
          <w:rStyle w:val="VerbatimChar"/>
        </w:rPr>
        <w:t>NUXT_PUBLIC_API_BASE=/api</w:t>
      </w:r>
      <w:r>
        <w:rPr/>
        <w:t>), чтобы сессионные cookie кабинета не упирались в межсайтовые ограничения.</w:t>
      </w:r>
    </w:p>
    <w:p>
      <w:pPr>
        <w:pStyle w:val="BodyText"/>
        <w:rPr/>
      </w:pPr>
      <w:r>
        <w:rPr>
          <w:b/>
          <w:bCs/>
        </w:rPr>
        <w:t>Почта.</w:t>
      </w:r>
      <w:r>
        <w:rPr/>
        <w:t xml:space="preserve"> SMTP для писем подтверждения и восстановления пароля. Используется российский почтовый сервис.</w:t>
      </w:r>
    </w:p>
    <w:p>
      <w:pPr>
        <w:pStyle w:val="BodyText"/>
        <w:rPr/>
      </w:pPr>
      <w:r>
        <w:rPr>
          <w:b/>
          <w:bCs/>
        </w:rPr>
        <w:t>Медиа.</w:t>
      </w:r>
      <w:r>
        <w:rPr/>
        <w:t xml:space="preserve"> Локальный диск на стенде либо S3-совместимое хранилище Selectel в зоне Российской Федерации на промышленном контуре.</w:t>
      </w:r>
    </w:p>
    <w:p>
      <w:pPr>
        <w:pStyle w:val="BodyText"/>
        <w:rPr/>
      </w:pPr>
      <w:r>
        <w:rPr>
          <w:b/>
          <w:bCs/>
        </w:rPr>
        <w:t>Соцвход.</w:t>
      </w:r>
      <w:r>
        <w:rPr/>
        <w:t xml:space="preserve"> Ключи Яндекс ID и VK ID. Необязательны: без них остаётся вход по электронной почте. Учётные записи Mail.ru и Одноклассников идут через VK ID.</w:t>
      </w:r>
    </w:p>
    <w:p>
      <w:pPr>
        <w:pStyle w:val="BodyText"/>
        <w:rPr/>
      </w:pPr>
      <w:r>
        <w:rPr>
          <w:b/>
          <w:bCs/>
        </w:rPr>
        <w:t>Cognitum.</w:t>
      </w:r>
      <w:r>
        <w:rPr/>
        <w:t xml:space="preserve"> Базовый URL и ключ внешней ИИ-платформы. Необязательны: без них ИИ-советник недоступен, каталог, заявки и кабинеты работают.</w:t>
      </w:r>
    </w:p>
    <w:p>
      <w:pPr>
        <w:pStyle w:val="BodyText"/>
        <w:rPr/>
      </w:pPr>
      <w:r>
        <w:rPr>
          <w:b/>
          <w:bCs/>
        </w:rPr>
        <w:t>DaData.</w:t>
      </w:r>
      <w:r>
        <w:rPr/>
        <w:t xml:space="preserve"> Подсказки адреса в кабинете партнёра. Необязательны. Координаты адреса в базу записывает только этот контур, если он включён.</w:t>
      </w:r>
    </w:p>
    <w:p>
      <w:pPr>
        <w:pStyle w:val="BodyText"/>
        <w:rPr/>
      </w:pPr>
      <w:r>
        <w:rPr>
          <w:b/>
          <w:bCs/>
        </w:rPr>
        <w:t>Карты.</w:t>
      </w:r>
      <w:r>
        <w:rPr/>
        <w:t xml:space="preserve"> Ключ Яндекс.Карт для отрисовки точки на карточке. Без ключа карточка остаётся, карта не рисуется.</w:t>
      </w:r>
    </w:p>
    <w:p>
      <w:pPr>
        <w:pStyle w:val="BodyText"/>
        <w:rPr/>
      </w:pPr>
      <w:r>
        <w:rPr/>
        <w:t xml:space="preserve">Полный перечень с комментариями — в </w:t>
      </w:r>
      <w:r>
        <w:rPr>
          <w:rStyle w:val="VerbatimChar"/>
        </w:rPr>
        <w:t>.env.example</w:t>
      </w:r>
      <w:r>
        <w:rPr/>
        <w:t>. Не копируйте промышленные секреты в документацию и в переписку.</w:t>
      </w:r>
      <w:bookmarkEnd w:id="42"/>
    </w:p>
    <w:p>
      <w:pPr>
        <w:pStyle w:val="Heading2"/>
        <w:rPr/>
      </w:pPr>
      <w:bookmarkStart w:id="43" w:name="__RefHeading___Toc2387_1869876486"/>
      <w:bookmarkStart w:id="44" w:name="безопасность-промышленного-контура"/>
      <w:bookmarkEnd w:id="43"/>
      <w:r>
        <w:rPr/>
        <w:t>Безопасность промышленного контура</w:t>
      </w:r>
    </w:p>
    <w:p>
      <w:pPr>
        <w:pStyle w:val="Compact"/>
        <w:numPr>
          <w:ilvl w:val="0"/>
          <w:numId w:val="19"/>
        </w:numPr>
        <w:rPr/>
      </w:pPr>
      <w:r>
        <w:rPr>
          <w:rStyle w:val="VerbatimChar"/>
        </w:rPr>
        <w:t>DJANGO_DEBUG=False</w:t>
      </w:r>
      <w:r>
        <w:rPr/>
        <w:t>;</w:t>
      </w:r>
    </w:p>
    <w:p>
      <w:pPr>
        <w:pStyle w:val="Compact"/>
        <w:numPr>
          <w:ilvl w:val="0"/>
          <w:numId w:val="20"/>
        </w:numPr>
        <w:rPr/>
      </w:pPr>
      <w:r>
        <w:rPr/>
        <w:t xml:space="preserve">уникальный </w:t>
      </w:r>
      <w:r>
        <w:rPr>
          <w:rStyle w:val="VerbatimChar"/>
        </w:rPr>
        <w:t>DJANGO_SECRET_KEY</w:t>
      </w:r>
      <w:r>
        <w:rPr/>
        <w:t>, не совпадающий со стендовым;</w:t>
      </w:r>
    </w:p>
    <w:p>
      <w:pPr>
        <w:pStyle w:val="Compact"/>
        <w:numPr>
          <w:ilvl w:val="0"/>
          <w:numId w:val="21"/>
        </w:numPr>
        <w:rPr/>
      </w:pPr>
      <w:r>
        <w:rPr/>
        <w:t>HTTPS на всех публичных доменах, включая зеркало;</w:t>
      </w:r>
    </w:p>
    <w:p>
      <w:pPr>
        <w:pStyle w:val="Compact"/>
        <w:numPr>
          <w:ilvl w:val="0"/>
          <w:numId w:val="22"/>
        </w:numPr>
        <w:rPr/>
      </w:pPr>
      <w:r>
        <w:rPr/>
        <w:t xml:space="preserve">секреты только в </w:t>
      </w:r>
      <w:r>
        <w:rPr>
          <w:rStyle w:val="VerbatimChar"/>
        </w:rPr>
        <w:t>.env</w:t>
      </w:r>
      <w:r>
        <w:rPr/>
        <w:t xml:space="preserve"> на сервере, не в образе и не в репозитории;</w:t>
      </w:r>
    </w:p>
    <w:p>
      <w:pPr>
        <w:pStyle w:val="Compact"/>
        <w:numPr>
          <w:ilvl w:val="0"/>
          <w:numId w:val="23"/>
        </w:numPr>
        <w:rPr/>
      </w:pPr>
      <w:r>
        <w:rPr/>
        <w:t>бакет медиафайлов — в российском регионе;</w:t>
      </w:r>
    </w:p>
    <w:p>
      <w:pPr>
        <w:pStyle w:val="Compact"/>
        <w:numPr>
          <w:ilvl w:val="0"/>
          <w:numId w:val="24"/>
        </w:numPr>
        <w:rPr/>
      </w:pPr>
      <w:r>
        <w:rPr>
          <w:rStyle w:val="VerbatimChar"/>
        </w:rPr>
        <w:t>DJANGO_ALLOWED_HOSTS</w:t>
      </w:r>
      <w:r>
        <w:rPr/>
        <w:t xml:space="preserve">, </w:t>
      </w:r>
      <w:r>
        <w:rPr>
          <w:rStyle w:val="VerbatimChar"/>
        </w:rPr>
        <w:t>CORS_ALLOWED_ORIGINS</w:t>
      </w:r>
      <w:r>
        <w:rPr/>
        <w:t xml:space="preserve"> и </w:t>
      </w:r>
      <w:r>
        <w:rPr>
          <w:rStyle w:val="VerbatimChar"/>
        </w:rPr>
        <w:t>CSRF_TRUSTED_ORIGINS</w:t>
      </w:r>
      <w:r>
        <w:rPr/>
        <w:t xml:space="preserve"> включают и основной домен, и зеркало, иначе формы с одного из адресов будут отвергаться.</w:t>
      </w:r>
      <w:bookmarkEnd w:id="40"/>
      <w:bookmarkEnd w:id="44"/>
    </w:p>
    <w:p>
      <w:pPr>
        <w:pStyle w:val="Heading1"/>
        <w:rPr/>
      </w:pPr>
      <w:bookmarkStart w:id="45" w:name="__RefHeading___Toc2389_1869876486"/>
      <w:bookmarkStart w:id="46" w:name="эксплуатация"/>
      <w:bookmarkEnd w:id="45"/>
      <w:r>
        <w:rPr/>
        <w:t>Эксплуатация</w:t>
      </w:r>
    </w:p>
    <w:p>
      <w:pPr>
        <w:pStyle w:val="Heading2"/>
        <w:rPr/>
      </w:pPr>
      <w:bookmarkStart w:id="47" w:name="__RefHeading___Toc2391_1869876486"/>
      <w:bookmarkStart w:id="48" w:name="запуск-и-остановка"/>
      <w:bookmarkEnd w:id="47"/>
      <w:r>
        <w:rPr/>
        <w:t>Запуск и остановка</w:t>
      </w:r>
    </w:p>
    <w:p>
      <w:pPr>
        <w:pStyle w:val="FirstParagraph"/>
        <w:rPr/>
      </w:pPr>
      <w:r>
        <w:rPr/>
        <w:t>Стенд:</w:t>
      </w:r>
    </w:p>
    <w:p>
      <w:pPr>
        <w:pStyle w:val="SourceCode"/>
        <w:rPr/>
      </w:pPr>
      <w:r>
        <w:rPr>
          <w:rStyle w:val="ExtensionTok"/>
        </w:rPr>
        <w:t>docker</w:t>
      </w:r>
      <w:r>
        <w:rPr>
          <w:rStyle w:val="NormalTok"/>
        </w:rPr>
        <w:t xml:space="preserve"> compose up </w:t>
      </w:r>
      <w:r>
        <w:rPr>
          <w:rStyle w:val="AttributeTok"/>
        </w:rPr>
        <w:t>-d</w:t>
      </w:r>
      <w:r>
        <w:rPr/>
        <w:br/>
      </w:r>
      <w:r>
        <w:rPr>
          <w:rStyle w:val="ExtensionTok"/>
        </w:rPr>
        <w:t>docker</w:t>
      </w:r>
      <w:r>
        <w:rPr>
          <w:rStyle w:val="NormalTok"/>
        </w:rPr>
        <w:t xml:space="preserve"> compose down</w:t>
      </w:r>
    </w:p>
    <w:p>
      <w:pPr>
        <w:pStyle w:val="FirstParagraph"/>
        <w:rPr/>
      </w:pPr>
      <w:r>
        <w:rPr/>
        <w:t xml:space="preserve">Команда </w:t>
      </w:r>
      <w:r>
        <w:rPr>
          <w:rStyle w:val="VerbatimChar"/>
        </w:rPr>
        <w:t>down</w:t>
      </w:r>
      <w:r>
        <w:rPr/>
        <w:t xml:space="preserve"> останавливает контейнеры. Тома базы и медиа по умолчанию сохраняются, пока их явно не удалят.</w:t>
      </w:r>
    </w:p>
    <w:p>
      <w:pPr>
        <w:pStyle w:val="BodyText"/>
        <w:rPr/>
      </w:pPr>
      <w:r>
        <w:rPr/>
        <w:t>Промышленный контур:</w:t>
      </w:r>
    </w:p>
    <w:p>
      <w:pPr>
        <w:pStyle w:val="SourceCode"/>
        <w:rPr/>
      </w:pPr>
      <w:r>
        <w:rPr>
          <w:rStyle w:val="ExtensionTok"/>
        </w:rPr>
        <w:t>docker</w:t>
      </w:r>
      <w:r>
        <w:rPr>
          <w:rStyle w:val="NormalTok"/>
        </w:rPr>
        <w:t xml:space="preserve"> compose </w:t>
      </w:r>
      <w:r>
        <w:rPr>
          <w:rStyle w:val="AttributeTok"/>
        </w:rPr>
        <w:t>-f</w:t>
      </w:r>
      <w:r>
        <w:rPr>
          <w:rStyle w:val="NormalTok"/>
        </w:rPr>
        <w:t xml:space="preserve"> deploy/docker-compose.prod.yml </w:t>
      </w:r>
      <w:r>
        <w:rPr>
          <w:rStyle w:val="AttributeTok"/>
        </w:rPr>
        <w:t>--env-file</w:t>
      </w:r>
      <w:r>
        <w:rPr>
          <w:rStyle w:val="NormalTok"/>
        </w:rPr>
        <w:t xml:space="preserve"> .env up </w:t>
      </w:r>
      <w:r>
        <w:rPr>
          <w:rStyle w:val="AttributeTok"/>
        </w:rPr>
        <w:t>-d</w:t>
      </w:r>
      <w:r>
        <w:rPr/>
        <w:br/>
      </w:r>
      <w:r>
        <w:rPr>
          <w:rStyle w:val="ExtensionTok"/>
        </w:rPr>
        <w:t>docker</w:t>
      </w:r>
      <w:r>
        <w:rPr>
          <w:rStyle w:val="NormalTok"/>
        </w:rPr>
        <w:t xml:space="preserve"> compose </w:t>
      </w:r>
      <w:r>
        <w:rPr>
          <w:rStyle w:val="AttributeTok"/>
        </w:rPr>
        <w:t>-f</w:t>
      </w:r>
      <w:r>
        <w:rPr>
          <w:rStyle w:val="NormalTok"/>
        </w:rPr>
        <w:t xml:space="preserve"> deploy/docker-compose.prod.yml </w:t>
      </w:r>
      <w:r>
        <w:rPr>
          <w:rStyle w:val="AttributeTok"/>
        </w:rPr>
        <w:t>--env-file</w:t>
      </w:r>
      <w:r>
        <w:rPr>
          <w:rStyle w:val="NormalTok"/>
        </w:rPr>
        <w:t xml:space="preserve"> .env down</w:t>
      </w:r>
    </w:p>
    <w:p>
      <w:pPr>
        <w:pStyle w:val="FirstParagraph"/>
        <w:rPr/>
      </w:pPr>
      <w:r>
        <w:rPr/>
        <w:t xml:space="preserve">Остановку промышленного контура выполняют только при обслуживании. Обычное обновление — смена тегов образов джобой выкладки, без ручного </w:t>
      </w:r>
      <w:r>
        <w:rPr>
          <w:rStyle w:val="VerbatimChar"/>
        </w:rPr>
        <w:t>down</w:t>
      </w:r>
      <w:r>
        <w:rPr/>
        <w:t>.</w:t>
      </w:r>
      <w:bookmarkEnd w:id="48"/>
    </w:p>
    <w:p>
      <w:pPr>
        <w:pStyle w:val="Heading2"/>
        <w:rPr/>
      </w:pPr>
      <w:bookmarkStart w:id="49" w:name="__RefHeading___Toc2393_1869876486"/>
      <w:bookmarkStart w:id="50" w:name="журналы"/>
      <w:bookmarkEnd w:id="49"/>
      <w:r>
        <w:rPr/>
        <w:t>Журналы</w:t>
      </w:r>
    </w:p>
    <w:p>
      <w:pPr>
        <w:pStyle w:val="SourceCode"/>
        <w:rPr/>
      </w:pPr>
      <w:r>
        <w:rPr>
          <w:rStyle w:val="ExtensionTok"/>
        </w:rPr>
        <w:t>docker</w:t>
      </w:r>
      <w:r>
        <w:rPr>
          <w:rStyle w:val="NormalTok"/>
        </w:rPr>
        <w:t xml:space="preserve"> compose logs </w:t>
      </w:r>
      <w:r>
        <w:rPr>
          <w:rStyle w:val="AttributeTok"/>
        </w:rPr>
        <w:t>-f</w:t>
      </w:r>
      <w:r>
        <w:rPr>
          <w:rStyle w:val="NormalTok"/>
        </w:rPr>
        <w:t xml:space="preserve"> api web worker</w:t>
      </w:r>
    </w:p>
    <w:p>
      <w:pPr>
        <w:pStyle w:val="FirstParagraph"/>
        <w:rPr/>
      </w:pPr>
      <w:r>
        <w:rPr/>
        <w:t xml:space="preserve">На промышленном контуре те же команды с файлом </w:t>
      </w:r>
      <w:r>
        <w:rPr>
          <w:rStyle w:val="VerbatimChar"/>
        </w:rPr>
        <w:t>deploy/docker-compose.prod.yml</w:t>
      </w:r>
      <w:r>
        <w:rPr/>
        <w:t>. Имеет смысл смотреть логи API при ошибках 5xx, логи воркера при отсутствии писем, логи сайта при пустой главной странице.</w:t>
      </w:r>
      <w:bookmarkEnd w:id="50"/>
    </w:p>
    <w:p>
      <w:pPr>
        <w:pStyle w:val="Heading2"/>
        <w:rPr/>
      </w:pPr>
      <w:bookmarkStart w:id="51" w:name="__RefHeading___Toc2395_1869876486"/>
      <w:bookmarkStart w:id="52" w:name="резервное-копирование"/>
      <w:bookmarkEnd w:id="51"/>
      <w:r>
        <w:rPr/>
        <w:t>Резервное копирование</w:t>
      </w:r>
    </w:p>
    <w:p>
      <w:pPr>
        <w:pStyle w:val="FirstParagraph"/>
        <w:rPr/>
      </w:pPr>
      <w:r>
        <w:rPr/>
        <w:t xml:space="preserve">Скрипт </w:t>
      </w:r>
      <w:r>
        <w:rPr>
          <w:rStyle w:val="VerbatimChar"/>
        </w:rPr>
        <w:t>deploy/backup.sh</w:t>
      </w:r>
      <w:r>
        <w:rPr/>
        <w:t xml:space="preserve"> выполняется на сервере из каталога экземпляра. В архив входят дамп PostgreSQL, медиафайлы и копия </w:t>
      </w:r>
      <w:r>
        <w:rPr>
          <w:rStyle w:val="VerbatimChar"/>
        </w:rPr>
        <w:t>.env</w:t>
      </w:r>
      <w:r>
        <w:rPr/>
        <w:t xml:space="preserve">. Срок хранения задаётся переменной </w:t>
      </w:r>
      <w:r>
        <w:rPr>
          <w:rStyle w:val="VerbatimChar"/>
        </w:rPr>
        <w:t>KEEP_DAYS</w:t>
      </w:r>
      <w:r>
        <w:rPr/>
        <w:t xml:space="preserve"> (по умолчанию 3 дня).</w:t>
      </w:r>
    </w:p>
    <w:p>
      <w:pPr>
        <w:pStyle w:val="BodyText"/>
        <w:rPr/>
      </w:pPr>
      <w:r>
        <w:rPr/>
        <w:t>Резервные копии остаются на той же инфраструктуре в Российской Федерации. Вывоз персональных данных за пределы РФ скриптом не предусмотрен.</w:t>
      </w:r>
    </w:p>
    <w:p>
      <w:pPr>
        <w:pStyle w:val="BodyText"/>
        <w:rPr/>
      </w:pPr>
      <w:bookmarkStart w:id="53" w:name="резервное-копирование"/>
      <w:r>
        <w:rPr/>
        <w:t>Перед обновлением версии резервное копирование обязательно.</w:t>
      </w:r>
      <w:bookmarkEnd w:id="53"/>
    </w:p>
    <w:p>
      <w:pPr>
        <w:pStyle w:val="Heading2"/>
        <w:rPr/>
      </w:pPr>
      <w:bookmarkStart w:id="54" w:name="__RefHeading___Toc2397_1869876486"/>
      <w:bookmarkStart w:id="55" w:name="восстановление"/>
      <w:bookmarkEnd w:id="54"/>
      <w:r>
        <w:rPr/>
        <w:t>Восстановление</w:t>
      </w:r>
    </w:p>
    <w:p>
      <w:pPr>
        <w:pStyle w:val="Compact"/>
        <w:numPr>
          <w:ilvl w:val="0"/>
          <w:numId w:val="25"/>
        </w:numPr>
        <w:rPr/>
      </w:pPr>
      <w:r>
        <w:rPr/>
        <w:t>Остановить API и воркер, чтобы не было записи в базу во время восстановления.</w:t>
      </w:r>
    </w:p>
    <w:p>
      <w:pPr>
        <w:pStyle w:val="Compact"/>
        <w:numPr>
          <w:ilvl w:val="0"/>
          <w:numId w:val="26"/>
        </w:numPr>
        <w:rPr/>
      </w:pPr>
      <w:r>
        <w:rPr/>
        <w:t xml:space="preserve">Восстановить дамп в контейнер </w:t>
      </w:r>
      <w:r>
        <w:rPr>
          <w:rStyle w:val="VerbatimChar"/>
        </w:rPr>
        <w:t>db</w:t>
      </w:r>
      <w:r>
        <w:rPr/>
        <w:t xml:space="preserve"> средствами </w:t>
      </w:r>
      <w:r>
        <w:rPr>
          <w:rStyle w:val="VerbatimChar"/>
        </w:rPr>
        <w:t>psql</w:t>
      </w:r>
      <w:r>
        <w:rPr/>
        <w:t xml:space="preserve"> или </w:t>
      </w:r>
      <w:r>
        <w:rPr>
          <w:rStyle w:val="VerbatimChar"/>
        </w:rPr>
        <w:t>pg_restore</w:t>
      </w:r>
      <w:r>
        <w:rPr/>
        <w:t>.</w:t>
      </w:r>
    </w:p>
    <w:p>
      <w:pPr>
        <w:pStyle w:val="Compact"/>
        <w:numPr>
          <w:ilvl w:val="0"/>
          <w:numId w:val="27"/>
        </w:numPr>
        <w:rPr/>
      </w:pPr>
      <w:r>
        <w:rPr/>
        <w:t>Вернуть файлы медиа в том либо в бакет объектного хранилища.</w:t>
      </w:r>
    </w:p>
    <w:p>
      <w:pPr>
        <w:pStyle w:val="Compact"/>
        <w:numPr>
          <w:ilvl w:val="0"/>
          <w:numId w:val="28"/>
        </w:numPr>
        <w:rPr/>
      </w:pPr>
      <w:r>
        <w:rPr/>
        <w:t xml:space="preserve">При необходимости вернуть </w:t>
      </w:r>
      <w:r>
        <w:rPr>
          <w:rStyle w:val="VerbatimChar"/>
        </w:rPr>
        <w:t>.env</w:t>
      </w:r>
      <w:r>
        <w:rPr/>
        <w:t>.</w:t>
      </w:r>
    </w:p>
    <w:p>
      <w:pPr>
        <w:pStyle w:val="Compact"/>
        <w:numPr>
          <w:ilvl w:val="0"/>
          <w:numId w:val="29"/>
        </w:numPr>
        <w:rPr/>
      </w:pPr>
      <w:r>
        <w:rPr/>
        <w:t xml:space="preserve">Запустить сервисы и проверить </w:t>
      </w:r>
      <w:r>
        <w:rPr>
          <w:rStyle w:val="VerbatimChar"/>
        </w:rPr>
        <w:t>GET /api/health/</w:t>
      </w:r>
      <w:r>
        <w:rPr/>
        <w:t xml:space="preserve"> и главную страницу сайта.</w:t>
      </w:r>
    </w:p>
    <w:p>
      <w:pPr>
        <w:pStyle w:val="FirstParagraph"/>
        <w:rPr/>
      </w:pPr>
      <w:bookmarkStart w:id="56" w:name="восстановление"/>
      <w:r>
        <w:rPr/>
        <w:t>Если после восстановления бэкофис не пускает, проверьте, что секретный ключ совпадает с тем, которым подписывались сессии, либо выполните вход заново.</w:t>
      </w:r>
      <w:bookmarkEnd w:id="56"/>
    </w:p>
    <w:p>
      <w:pPr>
        <w:pStyle w:val="Heading2"/>
        <w:rPr/>
      </w:pPr>
      <w:bookmarkStart w:id="57" w:name="__RefHeading___Toc2399_1869876486"/>
      <w:bookmarkStart w:id="58" w:name="мониторинг-доступности"/>
      <w:bookmarkEnd w:id="57"/>
      <w:r>
        <w:rPr/>
        <w:t>Мониторинг доступности</w:t>
      </w:r>
    </w:p>
    <w:p>
      <w:pPr>
        <w:pStyle w:val="FirstParagraph"/>
        <w:rPr/>
      </w:pPr>
      <w:r>
        <w:rPr/>
        <w:t xml:space="preserve">Минимальная проверка — успешный HTTP-ответ </w:t>
      </w:r>
      <w:r>
        <w:rPr>
          <w:rStyle w:val="VerbatimChar"/>
        </w:rPr>
        <w:t>GET /api/health/</w:t>
      </w:r>
      <w:r>
        <w:rPr/>
        <w:t xml:space="preserve"> и код 200 на главной странице. Расширенный мониторинг инфраструктуры (диск, нагрузка, сеть) выполняется средствами хостинг-провайдера на территории Российской Федерации.</w:t>
      </w:r>
    </w:p>
    <w:p>
      <w:pPr>
        <w:pStyle w:val="BodyText"/>
        <w:rPr/>
      </w:pPr>
      <w:bookmarkStart w:id="59" w:name="эксплуатация"/>
      <w:bookmarkStart w:id="60" w:name="мониторинг-доступности"/>
      <w:r>
        <w:rPr/>
        <w:t>Публичная выдача должна содержать только опубликованные карточки. Если на сайте виден черновик, это дефект фильтрации, а не «нормальная задержка модерации».</w:t>
      </w:r>
      <w:bookmarkEnd w:id="59"/>
      <w:bookmarkEnd w:id="60"/>
    </w:p>
    <w:p>
      <w:pPr>
        <w:pStyle w:val="Heading1"/>
        <w:rPr/>
      </w:pPr>
      <w:bookmarkStart w:id="61" w:name="__RefHeading___Toc2401_1869876486"/>
      <w:bookmarkStart w:id="62" w:name="обновление"/>
      <w:bookmarkEnd w:id="61"/>
      <w:r>
        <w:rPr/>
        <w:t>Обновление</w:t>
      </w:r>
    </w:p>
    <w:p>
      <w:pPr>
        <w:pStyle w:val="Heading2"/>
        <w:rPr/>
      </w:pPr>
      <w:bookmarkStart w:id="63" w:name="__RefHeading___Toc2403_1869876486"/>
      <w:bookmarkStart w:id="64" w:name="порядок-обновления-промышленного-контура"/>
      <w:bookmarkEnd w:id="63"/>
      <w:r>
        <w:rPr/>
        <w:t>Порядок обновления промышленного контура</w:t>
      </w:r>
    </w:p>
    <w:p>
      <w:pPr>
        <w:pStyle w:val="FirstParagraph"/>
        <w:rPr/>
      </w:pPr>
      <w:r>
        <w:rPr/>
        <w:t>Обновление выпускает правообладатель. Внешний поставщик или иностранное лицо не могут принудительно сменить версию экземпляра.</w:t>
      </w:r>
    </w:p>
    <w:p>
      <w:pPr>
        <w:pStyle w:val="Compact"/>
        <w:numPr>
          <w:ilvl w:val="0"/>
          <w:numId w:val="30"/>
        </w:numPr>
        <w:rPr/>
      </w:pPr>
      <w:r>
        <w:rPr/>
        <w:t>Собрать образы на раннере GitLab CI в Российской Федерации. Тег образа — короткий идентификатор коммита Git.</w:t>
      </w:r>
    </w:p>
    <w:p>
      <w:pPr>
        <w:pStyle w:val="Compact"/>
        <w:numPr>
          <w:ilvl w:val="0"/>
          <w:numId w:val="31"/>
        </w:numPr>
        <w:rPr/>
      </w:pPr>
      <w:r>
        <w:rPr/>
        <w:t xml:space="preserve">Выполнить резервное копирование скриптом </w:t>
      </w:r>
      <w:r>
        <w:rPr>
          <w:rStyle w:val="VerbatimChar"/>
        </w:rPr>
        <w:t>deploy/backup.sh</w:t>
      </w:r>
      <w:r>
        <w:rPr/>
        <w:t>.</w:t>
      </w:r>
    </w:p>
    <w:p>
      <w:pPr>
        <w:pStyle w:val="Compact"/>
        <w:numPr>
          <w:ilvl w:val="0"/>
          <w:numId w:val="32"/>
        </w:numPr>
        <w:rPr/>
      </w:pPr>
      <w:r>
        <w:rPr/>
        <w:t xml:space="preserve">Выложить новые образы на сервер джобой </w:t>
      </w:r>
      <w:r>
        <w:rPr>
          <w:rStyle w:val="VerbatimChar"/>
        </w:rPr>
        <w:t>deploy:prod</w:t>
      </w:r>
      <w:r>
        <w:rPr/>
        <w:t>. Контейнер API при старте выполняет миграции базы и сбор статики (</w:t>
      </w:r>
      <w:r>
        <w:rPr>
          <w:rStyle w:val="VerbatimChar"/>
        </w:rPr>
        <w:t>collectstatic</w:t>
      </w:r>
      <w:r>
        <w:rPr/>
        <w:t>).</w:t>
      </w:r>
    </w:p>
    <w:p>
      <w:pPr>
        <w:pStyle w:val="Compact"/>
        <w:numPr>
          <w:ilvl w:val="0"/>
          <w:numId w:val="33"/>
        </w:numPr>
        <w:rPr/>
      </w:pPr>
      <w:r>
        <w:rPr/>
        <w:t>Проверить health-check, главную страницу, вход в бэкофис и типовой сценарий заявки.</w:t>
      </w:r>
    </w:p>
    <w:p>
      <w:pPr>
        <w:pStyle w:val="FirstParagraph"/>
        <w:rPr/>
      </w:pPr>
      <w:bookmarkStart w:id="65" w:name="порядок-обновления-промышленного-контура"/>
      <w:r>
        <w:rPr/>
        <w:t>Сборку на сервере эксплуатации не запускают. Если джоба выкладки не завершилась, экземпляр остаётся на предыдущих образах.</w:t>
      </w:r>
      <w:bookmarkEnd w:id="65"/>
    </w:p>
    <w:p>
      <w:pPr>
        <w:pStyle w:val="Heading2"/>
        <w:rPr/>
      </w:pPr>
      <w:bookmarkStart w:id="66" w:name="__RefHeading___Toc2405_1869876486"/>
      <w:bookmarkStart w:id="67" w:name="откат"/>
      <w:bookmarkEnd w:id="66"/>
      <w:r>
        <w:rPr/>
        <w:t>Откат</w:t>
      </w:r>
    </w:p>
    <w:p>
      <w:pPr>
        <w:pStyle w:val="FirstParagraph"/>
        <w:rPr/>
      </w:pPr>
      <w:r>
        <w:rPr/>
        <w:t xml:space="preserve">Джоба </w:t>
      </w:r>
      <w:r>
        <w:rPr>
          <w:rStyle w:val="VerbatimChar"/>
        </w:rPr>
        <w:t>rollback:prod</w:t>
      </w:r>
      <w:r>
        <w:rPr/>
        <w:t xml:space="preserve"> с переменной </w:t>
      </w:r>
      <w:r>
        <w:rPr>
          <w:rStyle w:val="VerbatimChar"/>
        </w:rPr>
        <w:t>ROLLBACK_TAG</w:t>
      </w:r>
      <w:r>
        <w:rPr/>
        <w:t xml:space="preserve"> возвращает предыдущий тег образов. Если миграции базы были несовместимы с предыдущим кодом, базу восстанавливают из резервной копии, снятой перед обновлением.</w:t>
      </w:r>
    </w:p>
    <w:p>
      <w:pPr>
        <w:pStyle w:val="BodyText"/>
        <w:rPr/>
      </w:pPr>
      <w:bookmarkStart w:id="68" w:name="откат"/>
      <w:r>
        <w:rPr/>
        <w:t>Откат без копии базы допустим только когда миграции обратно совместимы (добавление поля с значением по умолчанию и подобные случаи).</w:t>
      </w:r>
      <w:bookmarkEnd w:id="68"/>
    </w:p>
    <w:p>
      <w:pPr>
        <w:pStyle w:val="Heading2"/>
        <w:rPr/>
      </w:pPr>
      <w:bookmarkStart w:id="69" w:name="__RefHeading___Toc2407_1869876486"/>
      <w:bookmarkStart w:id="70" w:name="совместимость-клиентских-рабочих-мест"/>
      <w:bookmarkEnd w:id="69"/>
      <w:r>
        <w:rPr/>
        <w:t>Совместимость клиентских рабочих мест</w:t>
      </w:r>
    </w:p>
    <w:p>
      <w:pPr>
        <w:pStyle w:val="FirstParagraph"/>
        <w:rPr/>
      </w:pPr>
      <w:bookmarkStart w:id="71" w:name="обновление"/>
      <w:bookmarkStart w:id="72" w:name="совместимость-клиентских-рабочих-мест"/>
      <w:r>
        <w:rPr/>
        <w:t>Обновление серверной части не требует установки программного обеспечения на компьютеры пользователей. Клиент — браузер. После выкладки достаточно обновить страницу.</w:t>
      </w:r>
      <w:bookmarkEnd w:id="71"/>
      <w:bookmarkEnd w:id="72"/>
    </w:p>
    <w:p>
      <w:pPr>
        <w:pStyle w:val="Heading1"/>
        <w:rPr/>
      </w:pPr>
      <w:bookmarkStart w:id="73" w:name="__RefHeading___Toc2409_1869876486"/>
      <w:bookmarkStart w:id="74" w:name="типичные-проблемы"/>
      <w:bookmarkEnd w:id="73"/>
      <w:r>
        <w:rPr/>
        <w:t>Типичные проблемы</w:t>
      </w:r>
    </w:p>
    <w:p>
      <w:pPr>
        <w:pStyle w:val="FirstParagraph"/>
        <w:rPr/>
      </w:pPr>
      <w:r>
        <w:rPr/>
        <w:t>Ниже — симптомы, которые чаще всего встречаются на стенде и на промышленном контуре, и что проверить в первую очередь.</w:t>
      </w:r>
    </w:p>
    <w:tbl>
      <w:tblPr>
        <w:tblStyle w:val="Table"/>
        <w:tblW w:w="5000" w:type="pct"/>
        <w:jc w:val="left"/>
        <w:tblInd w:w="113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020" w:noHBand="0" w:noVBand="0" w:firstColumn="0" w:lastRow="0" w:lastColumn="0" w:firstRow="1"/>
      </w:tblPr>
      <w:tblGrid>
        <w:gridCol w:w="3367"/>
        <w:gridCol w:w="5987"/>
      </w:tblGrid>
      <w:tr>
        <w:trPr>
          <w:tblHeader w:val="true"/>
        </w:trPr>
        <w:tc>
          <w:tcPr>
            <w:tcW w:w="3367" w:type="dxa"/>
            <w:tcBorders>
              <w:bottom w:val="single" w:sz="6" w:space="0" w:color="000000"/>
            </w:tcBorders>
            <w:shd w:color="auto" w:fill="EFEBF5" w:val="clear"/>
            <w:vAlign w:val="bottom"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b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Симптом</w:t>
            </w:r>
          </w:p>
        </w:tc>
        <w:tc>
          <w:tcPr>
            <w:tcW w:w="5987" w:type="dxa"/>
            <w:tcBorders>
              <w:bottom w:val="single" w:sz="6" w:space="0" w:color="000000"/>
            </w:tcBorders>
            <w:shd w:color="auto" w:fill="EFEBF5" w:val="clear"/>
            <w:vAlign w:val="bottom"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b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Что проверить</w:t>
            </w:r>
          </w:p>
        </w:tc>
      </w:tr>
      <w:tr>
        <w:trPr/>
        <w:tc>
          <w:tcPr>
            <w:tcW w:w="336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Сайт не открывается</w:t>
            </w:r>
          </w:p>
        </w:tc>
        <w:tc>
          <w:tcPr>
            <w:tcW w:w="598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 xml:space="preserve">контейнер </w:t>
            </w:r>
            <w:r>
              <w:rPr>
                <w:rStyle w:val="VerbatimChar"/>
                <w:rFonts w:eastAsia="Times New Roman" w:cs="Times New Roman"/>
                <w:kern w:val="0"/>
                <w:szCs w:val="24"/>
                <w:lang w:val="ru-RU" w:eastAsia="ru-RU" w:bidi="ar-SA"/>
              </w:rPr>
              <w:t>web</w:t>
            </w: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, nginx, срок TLS-сертификата, DNS</w:t>
            </w:r>
          </w:p>
        </w:tc>
      </w:tr>
      <w:tr>
        <w:trPr/>
        <w:tc>
          <w:tcPr>
            <w:tcW w:w="336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API отвечает 502</w:t>
            </w:r>
          </w:p>
        </w:tc>
        <w:tc>
          <w:tcPr>
            <w:tcW w:w="598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 xml:space="preserve">контейнер </w:t>
            </w:r>
            <w:r>
              <w:rPr>
                <w:rStyle w:val="VerbatimChar"/>
                <w:rFonts w:eastAsia="Times New Roman" w:cs="Times New Roman"/>
                <w:kern w:val="0"/>
                <w:szCs w:val="24"/>
                <w:lang w:val="ru-RU" w:eastAsia="ru-RU" w:bidi="ar-SA"/>
              </w:rPr>
              <w:t>api</w:t>
            </w: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, логи gunicorn, завершены ли миграции</w:t>
            </w:r>
          </w:p>
        </w:tc>
      </w:tr>
      <w:tr>
        <w:trPr/>
        <w:tc>
          <w:tcPr>
            <w:tcW w:w="336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Ошибки соединения с базой</w:t>
            </w:r>
          </w:p>
        </w:tc>
        <w:tc>
          <w:tcPr>
            <w:tcW w:w="598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 xml:space="preserve">контейнер </w:t>
            </w:r>
            <w:r>
              <w:rPr>
                <w:rStyle w:val="VerbatimChar"/>
                <w:rFonts w:eastAsia="Times New Roman" w:cs="Times New Roman"/>
                <w:kern w:val="0"/>
                <w:szCs w:val="24"/>
                <w:lang w:val="ru-RU" w:eastAsia="ru-RU" w:bidi="ar-SA"/>
              </w:rPr>
              <w:t>db</w:t>
            </w: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 xml:space="preserve">, </w:t>
            </w:r>
            <w:r>
              <w:rPr>
                <w:rStyle w:val="VerbatimChar"/>
                <w:rFonts w:eastAsia="Times New Roman" w:cs="Times New Roman"/>
                <w:kern w:val="0"/>
                <w:szCs w:val="24"/>
                <w:lang w:val="ru-RU" w:eastAsia="ru-RU" w:bidi="ar-SA"/>
              </w:rPr>
              <w:t>pg_isready</w:t>
            </w: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, свободное место на диске</w:t>
            </w:r>
          </w:p>
        </w:tc>
      </w:tr>
      <w:tr>
        <w:trPr/>
        <w:tc>
          <w:tcPr>
            <w:tcW w:w="336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Нет писем и фоновых задач</w:t>
            </w:r>
          </w:p>
        </w:tc>
        <w:tc>
          <w:tcPr>
            <w:tcW w:w="598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 xml:space="preserve">контейнер </w:t>
            </w:r>
            <w:r>
              <w:rPr>
                <w:rStyle w:val="VerbatimChar"/>
                <w:rFonts w:eastAsia="Times New Roman" w:cs="Times New Roman"/>
                <w:kern w:val="0"/>
                <w:szCs w:val="24"/>
                <w:lang w:val="ru-RU" w:eastAsia="ru-RU" w:bidi="ar-SA"/>
              </w:rPr>
              <w:t>worker</w:t>
            </w: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 xml:space="preserve">, переменная </w:t>
            </w:r>
            <w:r>
              <w:rPr>
                <w:rStyle w:val="VerbatimChar"/>
                <w:rFonts w:eastAsia="Times New Roman" w:cs="Times New Roman"/>
                <w:kern w:val="0"/>
                <w:szCs w:val="24"/>
                <w:lang w:val="ru-RU" w:eastAsia="ru-RU" w:bidi="ar-SA"/>
              </w:rPr>
              <w:t>REDIS_URL</w:t>
            </w: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, SMTP</w:t>
            </w:r>
          </w:p>
        </w:tc>
      </w:tr>
      <w:tr>
        <w:trPr/>
        <w:tc>
          <w:tcPr>
            <w:tcW w:w="336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Не загружаются изображения</w:t>
            </w:r>
          </w:p>
        </w:tc>
        <w:tc>
          <w:tcPr>
            <w:tcW w:w="598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Style w:val="VerbatimChar"/>
                <w:rFonts w:eastAsia="Times New Roman" w:cs="Times New Roman"/>
                <w:kern w:val="0"/>
                <w:szCs w:val="24"/>
                <w:lang w:val="ru-RU" w:eastAsia="ru-RU" w:bidi="ar-SA"/>
              </w:rPr>
              <w:t>USE_S3_MEDIA</w:t>
            </w: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 xml:space="preserve">, ключи бакета, том </w:t>
            </w:r>
            <w:r>
              <w:rPr>
                <w:rStyle w:val="VerbatimChar"/>
                <w:rFonts w:eastAsia="Times New Roman" w:cs="Times New Roman"/>
                <w:kern w:val="0"/>
                <w:szCs w:val="24"/>
                <w:lang w:val="ru-RU" w:eastAsia="ru-RU" w:bidi="ar-SA"/>
              </w:rPr>
              <w:t>media_files</w:t>
            </w: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 xml:space="preserve"> на стенде</w:t>
            </w:r>
          </w:p>
        </w:tc>
      </w:tr>
      <w:tr>
        <w:trPr/>
        <w:tc>
          <w:tcPr>
            <w:tcW w:w="336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Не работает ИИ-советник</w:t>
            </w:r>
          </w:p>
        </w:tc>
        <w:tc>
          <w:tcPr>
            <w:tcW w:w="598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Style w:val="VerbatimChar"/>
                <w:rFonts w:eastAsia="Times New Roman" w:cs="Times New Roman"/>
                <w:kern w:val="0"/>
                <w:szCs w:val="24"/>
                <w:lang w:val="ru-RU" w:eastAsia="ru-RU" w:bidi="ar-SA"/>
              </w:rPr>
              <w:t>COGNITUM_BASE_URL</w:t>
            </w: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 xml:space="preserve">, </w:t>
            </w:r>
            <w:r>
              <w:rPr>
                <w:rStyle w:val="VerbatimChar"/>
                <w:rFonts w:eastAsia="Times New Roman" w:cs="Times New Roman"/>
                <w:kern w:val="0"/>
                <w:szCs w:val="24"/>
                <w:lang w:val="ru-RU" w:eastAsia="ru-RU" w:bidi="ar-SA"/>
              </w:rPr>
              <w:t>COGNITUM_API_KEY</w:t>
            </w: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, доступ к платформе Cognitum</w:t>
            </w:r>
          </w:p>
        </w:tc>
      </w:tr>
      <w:tr>
        <w:trPr/>
        <w:tc>
          <w:tcPr>
            <w:tcW w:w="336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Форма с зеркального домена отвергается</w:t>
            </w:r>
          </w:p>
        </w:tc>
        <w:tc>
          <w:tcPr>
            <w:tcW w:w="598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Style w:val="VerbatimChar"/>
                <w:rFonts w:eastAsia="Times New Roman" w:cs="Times New Roman"/>
                <w:kern w:val="0"/>
                <w:szCs w:val="24"/>
                <w:lang w:val="ru-RU" w:eastAsia="ru-RU" w:bidi="ar-SA"/>
              </w:rPr>
              <w:t>DJANGO_ALLOWED_HOSTS</w:t>
            </w: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 xml:space="preserve">, </w:t>
            </w:r>
            <w:r>
              <w:rPr>
                <w:rStyle w:val="VerbatimChar"/>
                <w:rFonts w:eastAsia="Times New Roman" w:cs="Times New Roman"/>
                <w:kern w:val="0"/>
                <w:szCs w:val="24"/>
                <w:lang w:val="ru-RU" w:eastAsia="ru-RU" w:bidi="ar-SA"/>
              </w:rPr>
              <w:t>CORS_ALLOWED_ORIGINS</w:t>
            </w: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 xml:space="preserve">, </w:t>
            </w:r>
            <w:r>
              <w:rPr>
                <w:rStyle w:val="VerbatimChar"/>
                <w:rFonts w:eastAsia="Times New Roman" w:cs="Times New Roman"/>
                <w:kern w:val="0"/>
                <w:szCs w:val="24"/>
                <w:lang w:val="ru-RU" w:eastAsia="ru-RU" w:bidi="ar-SA"/>
              </w:rPr>
              <w:t>CSRF_TRUSTED_ORIGINS</w:t>
            </w:r>
          </w:p>
        </w:tc>
      </w:tr>
      <w:tr>
        <w:trPr/>
        <w:tc>
          <w:tcPr>
            <w:tcW w:w="336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Пустой каталог после установки</w:t>
            </w:r>
          </w:p>
        </w:tc>
        <w:tc>
          <w:tcPr>
            <w:tcW w:w="598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 xml:space="preserve">выполнена ли </w:t>
            </w:r>
            <w:r>
              <w:rPr>
                <w:rStyle w:val="VerbatimChar"/>
                <w:rFonts w:eastAsia="Times New Roman" w:cs="Times New Roman"/>
                <w:kern w:val="0"/>
                <w:szCs w:val="24"/>
                <w:lang w:val="ru-RU" w:eastAsia="ru-RU" w:bidi="ar-SA"/>
              </w:rPr>
              <w:t>seed_reference</w:t>
            </w: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, есть ли записи со статусом «опубликовано»</w:t>
            </w:r>
          </w:p>
        </w:tc>
      </w:tr>
    </w:tbl>
    <w:p>
      <w:pPr>
        <w:pStyle w:val="BodyText"/>
        <w:rPr/>
      </w:pPr>
      <w:r>
        <w:rPr/>
        <w:t>Перезапуск проблемного сервиса на стенде:</w:t>
      </w:r>
    </w:p>
    <w:p>
      <w:pPr>
        <w:pStyle w:val="SourceCode"/>
        <w:rPr/>
      </w:pPr>
      <w:r>
        <w:rPr>
          <w:rStyle w:val="ExtensionTok"/>
        </w:rPr>
        <w:t>docker</w:t>
      </w:r>
      <w:r>
        <w:rPr>
          <w:rStyle w:val="NormalTok"/>
        </w:rPr>
        <w:t xml:space="preserve"> compose up </w:t>
      </w:r>
      <w:r>
        <w:rPr>
          <w:rStyle w:val="AttributeTok"/>
        </w:rPr>
        <w:t>-d</w:t>
      </w:r>
      <w:r>
        <w:rPr>
          <w:rStyle w:val="NormalTok"/>
        </w:rPr>
        <w:t xml:space="preserve"> </w:t>
      </w:r>
      <w:r>
        <w:rPr>
          <w:rStyle w:val="AttributeTok"/>
        </w:rPr>
        <w:t>--build</w:t>
      </w:r>
      <w:r>
        <w:rPr>
          <w:rStyle w:val="NormalTok"/>
        </w:rPr>
        <w:t xml:space="preserve"> </w:t>
      </w:r>
      <w:r>
        <w:rPr>
          <w:rStyle w:val="AttributeTok"/>
        </w:rPr>
        <w:t>--force-recreate</w:t>
      </w:r>
      <w:r>
        <w:rPr>
          <w:rStyle w:val="NormalTok"/>
        </w:rPr>
        <w:t xml:space="preserve"> </w:t>
      </w:r>
      <w:r>
        <w:rPr>
          <w:rStyle w:val="OperatorTok"/>
        </w:rPr>
        <w:t>&lt;</w:t>
      </w:r>
      <w:r>
        <w:rPr>
          <w:rStyle w:val="NormalTok"/>
        </w:rPr>
        <w:t>сервис</w:t>
      </w:r>
      <w:r>
        <w:rPr>
          <w:rStyle w:val="OperatorTok"/>
        </w:rPr>
        <w:t>&gt;</w:t>
      </w:r>
    </w:p>
    <w:p>
      <w:pPr>
        <w:pStyle w:val="FirstParagraph"/>
        <w:rPr/>
      </w:pPr>
      <w:r>
        <w:rPr/>
        <w:t xml:space="preserve">На промышленном контуре параметр </w:t>
      </w:r>
      <w:r>
        <w:rPr>
          <w:rStyle w:val="VerbatimChar"/>
        </w:rPr>
        <w:t>--build</w:t>
      </w:r>
      <w:r>
        <w:rPr/>
        <w:t xml:space="preserve"> не используют: образ меняют выкладкой тега. Короткий </w:t>
      </w:r>
      <w:r>
        <w:rPr>
          <w:rStyle w:val="VerbatimChar"/>
        </w:rPr>
        <w:t>restart</w:t>
      </w:r>
      <w:r>
        <w:rPr/>
        <w:t xml:space="preserve"> без пересоздания контейнера не подхватывает новые переменные окружения.</w:t>
      </w:r>
    </w:p>
    <w:p>
      <w:pPr>
        <w:pStyle w:val="BodyText"/>
        <w:rPr/>
      </w:pPr>
      <w:bookmarkStart w:id="75" w:name="типичные-проблемы"/>
      <w:r>
        <w:rPr/>
        <w:t>ИИ-советник на изолированном стенде без ключа Cognitum может не отвечать. Это ожидаемо и не означает неисправности каталога.</w:t>
      </w:r>
      <w:bookmarkEnd w:id="75"/>
    </w:p>
    <w:p>
      <w:pPr>
        <w:pStyle w:val="Heading1"/>
        <w:rPr/>
      </w:pPr>
      <w:bookmarkStart w:id="76" w:name="__RefHeading___Toc2411_1869876486"/>
      <w:bookmarkStart w:id="77" w:name="инструкция-для-эксперта"/>
      <w:bookmarkEnd w:id="76"/>
      <w:r>
        <w:rPr/>
        <w:t>Инструкция для эксперта</w:t>
      </w:r>
    </w:p>
    <w:p>
      <w:pPr>
        <w:pStyle w:val="FirstParagraph"/>
        <w:rPr/>
      </w:pPr>
      <w:r>
        <w:rPr/>
        <w:t xml:space="preserve">Эксперт может проверить программу </w:t>
      </w:r>
      <w:r>
        <w:rPr>
          <w:b/>
          <w:bCs/>
        </w:rPr>
        <w:t>«СпортГид: цифровая платформа детского спорта»</w:t>
      </w:r>
      <w:r>
        <w:rPr/>
        <w:t xml:space="preserve"> двумя равнозначными способами. Достаточно одного: либо локальный стенд из архива, либо удалённый доступ к стенду правообладателя.</w:t>
      </w:r>
    </w:p>
    <w:p>
      <w:pPr>
        <w:pStyle w:val="Heading2"/>
        <w:rPr/>
      </w:pPr>
      <w:bookmarkStart w:id="78" w:name="__RefHeading___Toc2413_1869876486"/>
      <w:bookmarkStart w:id="79" w:name="X8abdda6528b227a18abe26bb4e79b7d751da032"/>
      <w:bookmarkEnd w:id="78"/>
      <w:r>
        <w:rPr/>
        <w:t>Способ 1. Локальный стенд из архива исходных текстов</w:t>
      </w:r>
    </w:p>
    <w:p>
      <w:pPr>
        <w:pStyle w:val="Compact"/>
        <w:numPr>
          <w:ilvl w:val="0"/>
          <w:numId w:val="34"/>
        </w:numPr>
        <w:rPr/>
      </w:pPr>
      <w:r>
        <w:rPr/>
        <w:t xml:space="preserve">Распаковать </w:t>
      </w:r>
      <w:r>
        <w:rPr>
          <w:rStyle w:val="VerbatimChar"/>
        </w:rPr>
        <w:t>SPORTGID-1.0-source.zip</w:t>
      </w:r>
      <w:r>
        <w:rPr/>
        <w:t xml:space="preserve">. Файл </w:t>
      </w:r>
      <w:r>
        <w:rPr>
          <w:rStyle w:val="VerbatimChar"/>
        </w:rPr>
        <w:t>SPORTGID-1.0-source.pdf</w:t>
      </w:r>
      <w:r>
        <w:rPr/>
        <w:t xml:space="preserve"> (PDF/A-2b) предназначен для заявления в реестр и для чтения исходного текста; контейнеры из него не запускаются.</w:t>
      </w:r>
    </w:p>
    <w:p>
      <w:pPr>
        <w:pStyle w:val="Compact"/>
        <w:numPr>
          <w:ilvl w:val="0"/>
          <w:numId w:val="35"/>
        </w:numPr>
        <w:rPr/>
      </w:pPr>
      <w:r>
        <w:rPr/>
        <w:t>Выполнить раздел «Установка стенда» настоящей инструкции.</w:t>
      </w:r>
    </w:p>
    <w:p>
      <w:pPr>
        <w:pStyle w:val="Compact"/>
        <w:numPr>
          <w:ilvl w:val="0"/>
          <w:numId w:val="36"/>
        </w:numPr>
        <w:rPr/>
      </w:pPr>
      <w:r>
        <w:rPr/>
        <w:t>Открыть http://localhost:3000 — публичный сайт на русском языке.</w:t>
      </w:r>
    </w:p>
    <w:p>
      <w:pPr>
        <w:pStyle w:val="Compact"/>
        <w:numPr>
          <w:ilvl w:val="0"/>
          <w:numId w:val="37"/>
        </w:numPr>
        <w:rPr/>
      </w:pPr>
      <w:r>
        <w:rPr/>
        <w:t>Создать суперпользователя и открыть http://localhost:8000/admin/ — бэкофис.</w:t>
      </w:r>
    </w:p>
    <w:p>
      <w:pPr>
        <w:pStyle w:val="Compact"/>
        <w:numPr>
          <w:ilvl w:val="0"/>
          <w:numId w:val="38"/>
        </w:numPr>
        <w:rPr/>
      </w:pPr>
      <w:r>
        <w:rPr/>
        <w:t>Убедиться, что каталог открывается, карточка провайдера содержит описание и форму заявки, заявка на пробное занятие требует согласия на обработку персональных данных.</w:t>
      </w:r>
    </w:p>
    <w:p>
      <w:pPr>
        <w:pStyle w:val="FirstParagraph"/>
        <w:rPr/>
      </w:pPr>
      <w:r>
        <w:rPr/>
        <w:t>Достаточный набор проверок версии 1.0:</w:t>
      </w:r>
    </w:p>
    <w:p>
      <w:pPr>
        <w:pStyle w:val="Compact"/>
        <w:numPr>
          <w:ilvl w:val="0"/>
          <w:numId w:val="39"/>
        </w:numPr>
        <w:rPr/>
      </w:pPr>
      <w:r>
        <w:rPr/>
        <w:t>гость видит только опубликованные карточки;</w:t>
      </w:r>
    </w:p>
    <w:p>
      <w:pPr>
        <w:pStyle w:val="Compact"/>
        <w:numPr>
          <w:ilvl w:val="0"/>
          <w:numId w:val="40"/>
        </w:numPr>
        <w:rPr/>
      </w:pPr>
      <w:r>
        <w:rPr/>
        <w:t>форма заявки фиксирует согласие;</w:t>
      </w:r>
    </w:p>
    <w:p>
      <w:pPr>
        <w:pStyle w:val="Compact"/>
        <w:numPr>
          <w:ilvl w:val="0"/>
          <w:numId w:val="41"/>
        </w:numPr>
        <w:rPr/>
      </w:pPr>
      <w:r>
        <w:rPr/>
        <w:t>бэкофис позволяет сменить статус записи;</w:t>
      </w:r>
    </w:p>
    <w:p>
      <w:pPr>
        <w:pStyle w:val="Compact"/>
        <w:numPr>
          <w:ilvl w:val="0"/>
          <w:numId w:val="42"/>
        </w:numPr>
        <w:rPr/>
      </w:pPr>
      <w:r>
        <w:rPr/>
        <w:t>после перевода в «опубликовано» карточка появляется на сайте.</w:t>
      </w:r>
    </w:p>
    <w:p>
      <w:pPr>
        <w:pStyle w:val="FirstParagraph"/>
        <w:rPr/>
      </w:pPr>
      <w:bookmarkStart w:id="80" w:name="X8abdda6528b227a18abe26bb4e79b7d751da032"/>
      <w:r>
        <w:rPr/>
        <w:t>ИИ-советник на изолированном стенде без ключа Cognitum может быть недоступен. Это не блокирует проверку каталога, кабинетов и бэкофиса.</w:t>
      </w:r>
      <w:bookmarkEnd w:id="80"/>
    </w:p>
    <w:p>
      <w:pPr>
        <w:pStyle w:val="Heading2"/>
        <w:rPr/>
      </w:pPr>
      <w:bookmarkStart w:id="81" w:name="__RefHeading___Toc2415_1869876486"/>
      <w:bookmarkStart w:id="82" w:name="X2ccb066fdc527309568b3fd1d046d605b70605c"/>
      <w:bookmarkEnd w:id="81"/>
      <w:r>
        <w:rPr/>
        <w:t>Способ 2. Удалённый доступ к стенду правообладателя</w:t>
      </w:r>
    </w:p>
    <w:p>
      <w:pPr>
        <w:pStyle w:val="FirstParagraph"/>
        <w:rPr/>
      </w:pPr>
      <w:r>
        <w:rPr/>
        <w:t>По запросу предоставляются:</w:t>
      </w:r>
    </w:p>
    <w:p>
      <w:pPr>
        <w:pStyle w:val="Compact"/>
        <w:numPr>
          <w:ilvl w:val="0"/>
          <w:numId w:val="43"/>
        </w:numPr>
        <w:rPr/>
      </w:pPr>
      <w:r>
        <w:rPr/>
        <w:t>адрес стенда на территории Российской Федерации;</w:t>
      </w:r>
    </w:p>
    <w:p>
      <w:pPr>
        <w:pStyle w:val="Compact"/>
        <w:numPr>
          <w:ilvl w:val="0"/>
          <w:numId w:val="44"/>
        </w:numPr>
        <w:rPr/>
      </w:pPr>
      <w:r>
        <w:rPr/>
        <w:t>учётная запись модератора;</w:t>
      </w:r>
    </w:p>
    <w:p>
      <w:pPr>
        <w:pStyle w:val="Compact"/>
        <w:numPr>
          <w:ilvl w:val="0"/>
          <w:numId w:val="45"/>
        </w:numPr>
        <w:rPr/>
      </w:pPr>
      <w:r>
        <w:rPr/>
        <w:t>тестовая учётная запись партнёра.</w:t>
      </w:r>
    </w:p>
    <w:p>
      <w:pPr>
        <w:pStyle w:val="FirstParagraph"/>
        <w:rPr/>
      </w:pPr>
      <w:bookmarkStart w:id="83" w:name="X2ccb066fdc527309568b3fd1d046d605b70605c"/>
      <w:r>
        <w:rPr/>
        <w:t>Видеодемонстрация может прилагаться дополнительно и не заменяет экземпляр.</w:t>
      </w:r>
      <w:bookmarkEnd w:id="83"/>
    </w:p>
    <w:p>
      <w:pPr>
        <w:pStyle w:val="Heading2"/>
        <w:rPr/>
      </w:pPr>
      <w:bookmarkStart w:id="84" w:name="__RefHeading___Toc2417_1869876486"/>
      <w:bookmarkStart w:id="85" w:name="контакт-технического-специалиста"/>
      <w:bookmarkEnd w:id="84"/>
      <w:r>
        <w:rPr/>
        <w:t>Контакт технического специалиста</w:t>
      </w:r>
    </w:p>
    <w:tbl>
      <w:tblPr>
        <w:tblStyle w:val="Table"/>
        <w:tblW w:w="5000" w:type="pct"/>
        <w:jc w:val="left"/>
        <w:tblInd w:w="113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020" w:noHBand="0" w:noVBand="0" w:firstColumn="0" w:lastRow="0" w:lastColumn="0" w:firstRow="1"/>
      </w:tblPr>
      <w:tblGrid>
        <w:gridCol w:w="3508"/>
        <w:gridCol w:w="5846"/>
      </w:tblGrid>
      <w:tr>
        <w:trPr>
          <w:tblHeader w:val="true"/>
        </w:trPr>
        <w:tc>
          <w:tcPr>
            <w:tcW w:w="3508" w:type="dxa"/>
            <w:tcBorders>
              <w:bottom w:val="single" w:sz="6" w:space="0" w:color="000000"/>
            </w:tcBorders>
            <w:shd w:color="auto" w:fill="EFEBF5" w:val="clear"/>
            <w:vAlign w:val="bottom"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b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Поле</w:t>
            </w:r>
          </w:p>
        </w:tc>
        <w:tc>
          <w:tcPr>
            <w:tcW w:w="5846" w:type="dxa"/>
            <w:tcBorders>
              <w:bottom w:val="single" w:sz="6" w:space="0" w:color="000000"/>
            </w:tcBorders>
            <w:shd w:color="auto" w:fill="EFEBF5" w:val="clear"/>
            <w:vAlign w:val="bottom"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b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Значение</w:t>
            </w:r>
          </w:p>
        </w:tc>
      </w:tr>
      <w:tr>
        <w:trPr/>
        <w:tc>
          <w:tcPr>
            <w:tcW w:w="3508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Организация</w:t>
            </w:r>
          </w:p>
        </w:tc>
        <w:tc>
          <w:tcPr>
            <w:tcW w:w="5846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ООО «СПОРТГИД»</w:t>
            </w:r>
          </w:p>
        </w:tc>
      </w:tr>
      <w:tr>
        <w:trPr/>
        <w:tc>
          <w:tcPr>
            <w:tcW w:w="3508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Электронная почта</w:t>
            </w:r>
          </w:p>
        </w:tc>
        <w:tc>
          <w:tcPr>
            <w:tcW w:w="5846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hello@sportguide.ru</w:t>
            </w:r>
          </w:p>
        </w:tc>
      </w:tr>
      <w:tr>
        <w:trPr/>
        <w:tc>
          <w:tcPr>
            <w:tcW w:w="3508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Назначение</w:t>
            </w:r>
          </w:p>
        </w:tc>
        <w:tc>
          <w:tcPr>
            <w:tcW w:w="5846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сопровождение экспертизы экземпляра программного обеспечения</w:t>
            </w:r>
          </w:p>
        </w:tc>
      </w:tr>
    </w:tbl>
    <w:p>
      <w:pPr>
        <w:pStyle w:val="BodyText"/>
        <w:rPr/>
      </w:pPr>
      <w:bookmarkStart w:id="86" w:name="инструкция-для-эксперта"/>
      <w:bookmarkStart w:id="87" w:name="контакт-технического-специалиста"/>
      <w:r>
        <w:rPr/>
        <w:t>При смене ответственного сотрудника правообладатель обновляет эту строку в комплекте документации.</w:t>
      </w:r>
      <w:bookmarkEnd w:id="86"/>
      <w:bookmarkEnd w:id="87"/>
    </w:p>
    <w:p>
      <w:pPr>
        <w:pStyle w:val="Heading1"/>
        <w:rPr/>
      </w:pPr>
      <w:bookmarkStart w:id="88" w:name="__RefHeading___Toc2419_1869876486"/>
      <w:bookmarkStart w:id="89" w:name="приложения"/>
      <w:bookmarkEnd w:id="88"/>
      <w:r>
        <w:rPr/>
        <w:t>Приложения</w:t>
      </w:r>
    </w:p>
    <w:p>
      <w:pPr>
        <w:pStyle w:val="Heading2"/>
        <w:rPr/>
      </w:pPr>
      <w:bookmarkStart w:id="90" w:name="__RefHeading___Toc2421_1869876486"/>
      <w:bookmarkStart w:id="91" w:name="состав-docker-compose-стенд"/>
      <w:bookmarkEnd w:id="90"/>
      <w:r>
        <w:rPr/>
        <w:t>Состав Docker Compose (стенд)</w:t>
      </w:r>
    </w:p>
    <w:p>
      <w:pPr>
        <w:pStyle w:val="FirstParagraph"/>
        <w:rPr/>
      </w:pPr>
      <w:r>
        <w:rPr/>
        <w:t xml:space="preserve">Файл </w:t>
      </w:r>
      <w:r>
        <w:rPr>
          <w:rStyle w:val="VerbatimChar"/>
        </w:rPr>
        <w:t>docker-compose.yml</w:t>
      </w:r>
      <w:r>
        <w:rPr/>
        <w:t xml:space="preserve"> в корне поставки описывает сервисы:</w:t>
      </w:r>
    </w:p>
    <w:p>
      <w:pPr>
        <w:pStyle w:val="Compact"/>
        <w:numPr>
          <w:ilvl w:val="0"/>
          <w:numId w:val="46"/>
        </w:numPr>
        <w:rPr/>
      </w:pPr>
      <w:r>
        <w:rPr>
          <w:rStyle w:val="VerbatimChar"/>
        </w:rPr>
        <w:t>db</w:t>
      </w:r>
      <w:r>
        <w:rPr/>
        <w:t xml:space="preserve"> — PostgreSQL 17 с расширением PostGIS;</w:t>
      </w:r>
    </w:p>
    <w:p>
      <w:pPr>
        <w:pStyle w:val="Compact"/>
        <w:numPr>
          <w:ilvl w:val="0"/>
          <w:numId w:val="47"/>
        </w:numPr>
        <w:rPr/>
      </w:pPr>
      <w:r>
        <w:rPr>
          <w:rStyle w:val="VerbatimChar"/>
        </w:rPr>
        <w:t>redis</w:t>
      </w:r>
      <w:r>
        <w:rPr/>
        <w:t xml:space="preserve"> — кэш и брокер очередей Celery;</w:t>
      </w:r>
    </w:p>
    <w:p>
      <w:pPr>
        <w:pStyle w:val="Compact"/>
        <w:numPr>
          <w:ilvl w:val="0"/>
          <w:numId w:val="48"/>
        </w:numPr>
        <w:rPr/>
      </w:pPr>
      <w:r>
        <w:rPr>
          <w:rStyle w:val="VerbatimChar"/>
        </w:rPr>
        <w:t>api</w:t>
      </w:r>
      <w:r>
        <w:rPr/>
        <w:t xml:space="preserve"> — Django, HTTP API, бэкофис;</w:t>
      </w:r>
    </w:p>
    <w:p>
      <w:pPr>
        <w:pStyle w:val="Compact"/>
        <w:numPr>
          <w:ilvl w:val="0"/>
          <w:numId w:val="49"/>
        </w:numPr>
        <w:rPr/>
      </w:pPr>
      <w:r>
        <w:rPr>
          <w:rStyle w:val="VerbatimChar"/>
        </w:rPr>
        <w:t>worker</w:t>
      </w:r>
      <w:r>
        <w:rPr/>
        <w:t xml:space="preserve"> — тот же образ API, процесс Celery;</w:t>
      </w:r>
    </w:p>
    <w:p>
      <w:pPr>
        <w:pStyle w:val="Compact"/>
        <w:numPr>
          <w:ilvl w:val="0"/>
          <w:numId w:val="50"/>
        </w:numPr>
        <w:rPr/>
      </w:pPr>
      <w:r>
        <w:rPr>
          <w:rStyle w:val="VerbatimChar"/>
        </w:rPr>
        <w:t>web</w:t>
      </w:r>
      <w:r>
        <w:rPr/>
        <w:t xml:space="preserve"> — Nuxt, публичный сайт и кабинеты.</w:t>
      </w:r>
    </w:p>
    <w:p>
      <w:pPr>
        <w:pStyle w:val="FirstParagraph"/>
        <w:rPr/>
      </w:pPr>
      <w:bookmarkStart w:id="92" w:name="состав-docker-compose-стенд"/>
      <w:r>
        <w:rPr/>
        <w:t>Сервисы связаны внутренней сетью Docker. С хоста публикуются порты сайта, API и, для отладки, базы данных.</w:t>
      </w:r>
      <w:bookmarkEnd w:id="92"/>
    </w:p>
    <w:p>
      <w:pPr>
        <w:pStyle w:val="Heading2"/>
        <w:rPr/>
      </w:pPr>
      <w:bookmarkStart w:id="93" w:name="__RefHeading___Toc2423_1869876486"/>
      <w:bookmarkStart w:id="94" w:name="основные-команды-стенда"/>
      <w:bookmarkEnd w:id="93"/>
      <w:r>
        <w:rPr/>
        <w:t>Основные команды стенда</w:t>
      </w:r>
    </w:p>
    <w:p>
      <w:pPr>
        <w:pStyle w:val="SourceCode"/>
        <w:rPr/>
      </w:pPr>
      <w:r>
        <w:rPr>
          <w:rStyle w:val="ExtensionTok"/>
        </w:rPr>
        <w:t>docker</w:t>
      </w:r>
      <w:r>
        <w:rPr>
          <w:rStyle w:val="NormalTok"/>
        </w:rPr>
        <w:t xml:space="preserve"> compose up </w:t>
      </w:r>
      <w:r>
        <w:rPr>
          <w:rStyle w:val="AttributeTok"/>
        </w:rPr>
        <w:t>-d</w:t>
      </w:r>
      <w:r>
        <w:rPr>
          <w:rStyle w:val="NormalTok"/>
        </w:rPr>
        <w:t xml:space="preserve"> </w:t>
      </w:r>
      <w:r>
        <w:rPr>
          <w:rStyle w:val="AttributeTok"/>
        </w:rPr>
        <w:t>--build</w:t>
      </w:r>
      <w:r>
        <w:rPr/>
        <w:br/>
      </w:r>
      <w:r>
        <w:rPr>
          <w:rStyle w:val="ExtensionTok"/>
        </w:rPr>
        <w:t>docker</w:t>
      </w:r>
      <w:r>
        <w:rPr>
          <w:rStyle w:val="NormalTok"/>
        </w:rPr>
        <w:t xml:space="preserve"> compose exec api python manage.py migrate</w:t>
      </w:r>
      <w:r>
        <w:rPr/>
        <w:br/>
      </w:r>
      <w:r>
        <w:rPr>
          <w:rStyle w:val="ExtensionTok"/>
        </w:rPr>
        <w:t>docker</w:t>
      </w:r>
      <w:r>
        <w:rPr>
          <w:rStyle w:val="NormalTok"/>
        </w:rPr>
        <w:t xml:space="preserve"> compose exec api python manage.py createsuperuser</w:t>
      </w:r>
      <w:r>
        <w:rPr/>
        <w:br/>
      </w:r>
      <w:r>
        <w:rPr>
          <w:rStyle w:val="ExtensionTok"/>
        </w:rPr>
        <w:t>docker</w:t>
      </w:r>
      <w:r>
        <w:rPr>
          <w:rStyle w:val="NormalTok"/>
        </w:rPr>
        <w:t xml:space="preserve"> compose exec api python manage.py seed_reference</w:t>
      </w:r>
      <w:r>
        <w:rPr/>
        <w:br/>
      </w:r>
      <w:r>
        <w:rPr>
          <w:rStyle w:val="ExtensionTok"/>
        </w:rPr>
        <w:t>docker</w:t>
      </w:r>
      <w:r>
        <w:rPr>
          <w:rStyle w:val="NormalTok"/>
        </w:rPr>
        <w:t xml:space="preserve"> compose exec api ruff check .</w:t>
      </w:r>
      <w:r>
        <w:rPr/>
        <w:br/>
      </w:r>
      <w:r>
        <w:rPr>
          <w:rStyle w:val="ExtensionTok"/>
        </w:rPr>
        <w:t>docker</w:t>
      </w:r>
      <w:r>
        <w:rPr>
          <w:rStyle w:val="NormalTok"/>
        </w:rPr>
        <w:t xml:space="preserve"> compose logs </w:t>
      </w:r>
      <w:r>
        <w:rPr>
          <w:rStyle w:val="AttributeTok"/>
        </w:rPr>
        <w:t>-f</w:t>
      </w:r>
      <w:r>
        <w:rPr>
          <w:rStyle w:val="NormalTok"/>
        </w:rPr>
        <w:t xml:space="preserve"> api</w:t>
      </w:r>
    </w:p>
    <w:p>
      <w:pPr>
        <w:pStyle w:val="FirstParagraph"/>
        <w:rPr/>
      </w:pPr>
      <w:r>
        <w:rPr/>
        <w:t xml:space="preserve">Проверка форматирования сайта (если установлен Node.js на хосте либо внутри контейнера </w:t>
      </w:r>
      <w:r>
        <w:rPr>
          <w:rStyle w:val="VerbatimChar"/>
        </w:rPr>
        <w:t>web</w:t>
      </w:r>
      <w:r>
        <w:rPr/>
        <w:t xml:space="preserve">): </w:t>
      </w:r>
      <w:r>
        <w:rPr>
          <w:rStyle w:val="VerbatimChar"/>
        </w:rPr>
        <w:t>npm run lint</w:t>
      </w:r>
      <w:r>
        <w:rPr/>
        <w:t xml:space="preserve"> в каталоге </w:t>
      </w:r>
      <w:r>
        <w:rPr>
          <w:rStyle w:val="VerbatimChar"/>
        </w:rPr>
        <w:t>web/</w:t>
      </w:r>
      <w:r>
        <w:rPr/>
        <w:t>.</w:t>
      </w:r>
      <w:bookmarkEnd w:id="94"/>
    </w:p>
    <w:p>
      <w:pPr>
        <w:pStyle w:val="Heading2"/>
        <w:rPr/>
      </w:pPr>
      <w:bookmarkStart w:id="95" w:name="__RefHeading___Toc2425_1869876486"/>
      <w:bookmarkStart w:id="96" w:name="переменные-окружения"/>
      <w:bookmarkEnd w:id="95"/>
      <w:r>
        <w:rPr/>
        <w:t>Переменные окружения</w:t>
      </w:r>
    </w:p>
    <w:p>
      <w:pPr>
        <w:pStyle w:val="FirstParagraph"/>
        <w:rPr/>
      </w:pPr>
      <w:r>
        <w:rPr/>
        <w:t xml:space="preserve">Актуальный перечень с комментариями — файл </w:t>
      </w:r>
      <w:r>
        <w:rPr>
          <w:rStyle w:val="VerbatimChar"/>
        </w:rPr>
        <w:t>.env.example</w:t>
      </w:r>
      <w:r>
        <w:rPr/>
        <w:t xml:space="preserve"> в корне поставки. В архив исходных текстов включается только этот образец, без секретов.</w:t>
      </w:r>
    </w:p>
    <w:p>
      <w:pPr>
        <w:pStyle w:val="BodyText"/>
        <w:spacing w:before="0" w:after="160"/>
        <w:jc w:val="both"/>
        <w:rPr/>
      </w:pPr>
      <w:r>
        <w:rPr/>
        <w:t xml:space="preserve">Группы, которые эксперт обычно трогает на стенде: </w:t>
      </w:r>
      <w:r>
        <w:rPr>
          <w:rStyle w:val="VerbatimChar"/>
        </w:rPr>
        <w:t>DJANGO_SECRET_KEY</w:t>
      </w:r>
      <w:r>
        <w:rPr/>
        <w:t xml:space="preserve">, </w:t>
      </w:r>
      <w:r>
        <w:rPr>
          <w:rStyle w:val="VerbatimChar"/>
        </w:rPr>
        <w:t>DJANGO_DEBUG</w:t>
      </w:r>
      <w:r>
        <w:rPr/>
        <w:t>, порты и URL сайта. Ключи Cognitum, карт, соцвхода и SMS для базовой проверки каталога не обязательны.</w:t>
      </w:r>
      <w:bookmarkEnd w:id="89"/>
      <w:bookmarkEnd w:id="96"/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417" w:right="1134" w:gutter="0" w:header="720" w:top="1134" w:footer="72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onsolas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14</w:t>
    </w:r>
    <w:r>
      <w:rPr/>
      <w:fldChar w:fldCharType="end"/>
    </w:r>
  </w:p>
  <w:p>
    <w:pPr>
      <w:pStyle w:val="Normal"/>
      <w:spacing w:before="0" w:after="160"/>
      <w:jc w:val="center"/>
      <w:rPr/>
    </w:pPr>
    <w:r>
      <w:rPr>
        <w:rFonts w:eastAsia="Times New Roman"/>
        <w:b w:val="false"/>
        <w:color w:val="5C5A66"/>
        <w:sz w:val="18"/>
      </w:rPr>
      <w:t>ООО «СПОРТГИД»  ·  СпортГид: цифровая платформа детского спорта  ·  версия 1.0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jc w:val="left"/>
      <w:rPr/>
    </w:pPr>
    <w:r>
      <w:rPr/>
      <w:drawing>
        <wp:inline distT="0" distB="0" distL="0" distR="0">
          <wp:extent cx="1619885" cy="392430"/>
          <wp:effectExtent l="0" t="0" r="0" b="0"/>
          <wp:docPr id="2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2"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3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3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3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3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3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3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3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3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3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5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9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"/>
    <w:lvlOverride w:ilvl="0">
      <w:startOverride w:val="1"/>
    </w:lvlOverride>
  </w:num>
  <w:num w:numId="14">
    <w:abstractNumId w:val="2"/>
    <w:lvlOverride w:ilvl="0">
      <w:startOverride w:val="3"/>
    </w:lvlOverride>
  </w:num>
  <w:num w:numId="15">
    <w:abstractNumId w:val="1"/>
    <w:lvlOverride w:ilvl="0">
      <w:startOverride w:val="1"/>
    </w:lvlOverride>
  </w:num>
  <w:num w:numId="16">
    <w:abstractNumId w:val="1"/>
  </w:num>
  <w:num w:numId="17">
    <w:abstractNumId w:val="1"/>
  </w:num>
  <w:num w:numId="18">
    <w:abstractNumId w:val="1"/>
  </w:num>
  <w:num w:numId="19">
    <w:abstractNumId w:val="3"/>
  </w:num>
  <w:num w:numId="20">
    <w:abstractNumId w:val="3"/>
  </w:num>
  <w:num w:numId="21">
    <w:abstractNumId w:val="3"/>
  </w:num>
  <w:num w:numId="22">
    <w:abstractNumId w:val="3"/>
  </w:num>
  <w:num w:numId="23">
    <w:abstractNumId w:val="3"/>
  </w:num>
  <w:num w:numId="24">
    <w:abstractNumId w:val="3"/>
  </w:num>
  <w:num w:numId="25">
    <w:abstractNumId w:val="1"/>
    <w:lvlOverride w:ilvl="0">
      <w:startOverride w:val="1"/>
    </w:lvlOverride>
  </w:num>
  <w:num w:numId="26">
    <w:abstractNumId w:val="1"/>
  </w:num>
  <w:num w:numId="27">
    <w:abstractNumId w:val="1"/>
  </w:num>
  <w:num w:numId="28">
    <w:abstractNumId w:val="1"/>
  </w:num>
  <w:num w:numId="29">
    <w:abstractNumId w:val="1"/>
  </w:num>
  <w:num w:numId="30">
    <w:abstractNumId w:val="1"/>
    <w:lvlOverride w:ilvl="0">
      <w:startOverride w:val="1"/>
    </w:lvlOverride>
  </w:num>
  <w:num w:numId="31">
    <w:abstractNumId w:val="1"/>
  </w:num>
  <w:num w:numId="32">
    <w:abstractNumId w:val="1"/>
  </w:num>
  <w:num w:numId="33">
    <w:abstractNumId w:val="1"/>
  </w:num>
  <w:num w:numId="34">
    <w:abstractNumId w:val="1"/>
    <w:lvlOverride w:ilvl="0">
      <w:startOverride w:val="1"/>
    </w:lvlOverride>
  </w:num>
  <w:num w:numId="35">
    <w:abstractNumId w:val="1"/>
  </w:num>
  <w:num w:numId="36">
    <w:abstractNumId w:val="1"/>
  </w:num>
  <w:num w:numId="37">
    <w:abstractNumId w:val="1"/>
  </w:num>
  <w:num w:numId="38">
    <w:abstractNumId w:val="1"/>
  </w:num>
  <w:num w:numId="39">
    <w:abstractNumId w:val="3"/>
  </w:num>
  <w:num w:numId="40">
    <w:abstractNumId w:val="3"/>
  </w:num>
  <w:num w:numId="41">
    <w:abstractNumId w:val="3"/>
  </w:num>
  <w:num w:numId="42">
    <w:abstractNumId w:val="3"/>
  </w:num>
  <w:num w:numId="43">
    <w:abstractNumId w:val="3"/>
  </w:num>
  <w:num w:numId="44">
    <w:abstractNumId w:val="3"/>
  </w:num>
  <w:num w:numId="45">
    <w:abstractNumId w:val="3"/>
  </w:num>
  <w:num w:numId="46">
    <w:abstractNumId w:val="3"/>
  </w:num>
  <w:num w:numId="47">
    <w:abstractNumId w:val="3"/>
  </w:num>
  <w:num w:numId="48">
    <w:abstractNumId w:val="3"/>
  </w:num>
  <w:num w:numId="49">
    <w:abstractNumId w:val="3"/>
  </w:num>
  <w:num w:numId="50">
    <w:abstractNumId w:val="3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76"/>
  <w:style w:type="paragraph" w:styleId="Normal" w:default="1">
    <w:name w:val="Normal"/>
    <w:qFormat/>
    <w:pPr>
      <w:widowControl/>
      <w:bidi w:val="0"/>
      <w:spacing w:lineRule="auto" w:line="276" w:before="0" w:after="16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before="320" w:after="160"/>
      <w:outlineLvl w:val="0"/>
    </w:pPr>
    <w:rPr>
      <w:rFonts w:ascii="Times New Roman" w:hAnsi="Times New Roman" w:eastAsia="Times New Roman" w:cs="Times New Roman"/>
      <w:b/>
      <w:color w:val="442A6B"/>
      <w:sz w:val="32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before="320" w:after="160"/>
      <w:outlineLvl w:val="1"/>
    </w:pPr>
    <w:rPr>
      <w:rFonts w:ascii="Times New Roman" w:hAnsi="Times New Roman" w:eastAsia="Times New Roman" w:cs="Times New Roman"/>
      <w:b/>
      <w:color w:val="442A6B"/>
      <w:sz w:val="28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before="320" w:after="160"/>
      <w:outlineLvl w:val="2"/>
    </w:pPr>
    <w:rPr>
      <w:rFonts w:ascii="Times New Roman" w:hAnsi="Times New Roman" w:eastAsia="Times New Roman" w:cs="Times New Roman"/>
      <w:b/>
      <w:color w:val="442A6B"/>
      <w:sz w:val="26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before="80" w:after="40"/>
      <w:outlineLvl w:val="3"/>
    </w:pPr>
    <w:rPr>
      <w:rFonts w:ascii="Times New Roman" w:hAnsi="Times New Roman" w:eastAsia="Times New Roman" w:cs="Times New Roman"/>
      <w:i/>
      <w:iCs/>
      <w:color w:themeColor="accent1" w:themeShade="bf" w:val="0F4761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before="80" w:after="40"/>
      <w:outlineLvl w:val="4"/>
    </w:pPr>
    <w:rPr>
      <w:rFonts w:ascii="Times New Roman" w:hAnsi="Times New Roman" w:eastAsia="Times New Roman" w:cs="Times New Roman"/>
      <w:color w:themeColor="accent1" w:themeShade="bf" w:val="0F4761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before="40" w:after="0"/>
      <w:outlineLvl w:val="5"/>
    </w:pPr>
    <w:rPr>
      <w:rFonts w:ascii="Times New Roman" w:hAnsi="Times New Roman" w:eastAsia="Times New Roman" w:cs="Times New Roman"/>
      <w:i/>
      <w:iCs/>
      <w:color w:themeColor="text1" w:themeTint="a6" w:val="595959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before="40" w:after="0"/>
      <w:outlineLvl w:val="6"/>
    </w:pPr>
    <w:rPr>
      <w:rFonts w:ascii="Times New Roman" w:hAnsi="Times New Roman" w:eastAsia="Times New Roman" w:cs="Times New Roman"/>
      <w:color w:themeColor="text1" w:themeTint="a6" w:val="595959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before="0" w:after="0"/>
      <w:outlineLvl w:val="7"/>
    </w:pPr>
    <w:rPr>
      <w:rFonts w:ascii="Times New Roman" w:hAnsi="Times New Roman" w:eastAsia="Times New Roman" w:cs="Times New Roman"/>
      <w:i/>
      <w:iCs/>
      <w:color w:themeColor="text1" w:themeTint="d8" w:val="272727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before="0" w:after="0"/>
      <w:outlineLvl w:val="8"/>
    </w:pPr>
    <w:rPr>
      <w:rFonts w:ascii="Times New Roman" w:hAnsi="Times New Roman" w:eastAsia="Times New Roman" w:cs="Times New Roman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a10fd9"/>
    <w:rPr>
      <w:rFonts w:ascii="Times New Roman" w:hAnsi="Times New Roman" w:eastAsia="Times New Roman" w:cs="Times New Roman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a10fd9"/>
    <w:rPr>
      <w:rFonts w:ascii="Times New Roman" w:hAnsi="Times New Roman" w:eastAsia="Times New Roman" w:cs="Times New Roman"/>
      <w:color w:themeColor="text1" w:themeTint="a6" w:val="595959"/>
      <w:spacing w:val="15"/>
      <w:sz w:val="28"/>
      <w:szCs w:val="28"/>
    </w:rPr>
  </w:style>
  <w:style w:type="character" w:styleId="Heading1Char" w:customStyle="1">
    <w:name w:val="Heading 1 Char"/>
    <w:basedOn w:val="DefaultParagraphFont"/>
    <w:link w:val="Heading1"/>
    <w:uiPriority w:val="9"/>
    <w:qFormat/>
    <w:rsid w:val="00a10fd9"/>
    <w:rPr>
      <w:rFonts w:ascii="Times New Roman" w:hAnsi="Times New Roman" w:eastAsia="Times New Roman" w:cs="Times New Roman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a10fd9"/>
    <w:rPr>
      <w:rFonts w:ascii="Times New Roman" w:hAnsi="Times New Roman" w:eastAsia="Times New Roman" w:cs="Times New Roman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a10fd9"/>
    <w:rPr>
      <w:rFonts w:ascii="Times New Roman" w:hAnsi="Times New Roman" w:eastAsia="Times New Roman" w:cs="Times New Roman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a10fd9"/>
    <w:rPr>
      <w:rFonts w:ascii="Times New Roman" w:hAnsi="Times New Roman" w:eastAsia="Times New Roman" w:cs="Times New Roman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a10fd9"/>
    <w:rPr>
      <w:rFonts w:ascii="Times New Roman" w:hAnsi="Times New Roman" w:eastAsia="Times New Roman" w:cs="Times New Roman"/>
      <w:color w:themeColor="accent1" w:themeShade="bf" w:val="0F4761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a10fd9"/>
    <w:rPr>
      <w:rFonts w:ascii="Times New Roman" w:hAnsi="Times New Roman" w:eastAsia="Times New Roman" w:cs="Times New Roman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a10fd9"/>
    <w:rPr>
      <w:rFonts w:ascii="Times New Roman" w:hAnsi="Times New Roman" w:eastAsia="Times New Roman" w:cs="Times New Roman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a10fd9"/>
    <w:rPr>
      <w:rFonts w:ascii="Times New Roman" w:hAnsi="Times New Roman" w:eastAsia="Times New Roman" w:cs="Times New Roman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a10fd9"/>
    <w:rPr>
      <w:rFonts w:ascii="Times New Roman" w:hAnsi="Times New Roman" w:eastAsia="Times New Roman" w:cs="Times New Roman"/>
      <w:color w:themeColor="text1" w:themeTint="d8" w:val="272727"/>
    </w:rPr>
  </w:style>
  <w:style w:type="character" w:styleId="DefaultParagraphFont" w:default="1">
    <w:name w:val="Default Paragraph Font"/>
    <w:semiHidden/>
    <w:unhideWhenUsed/>
    <w:qFormat/>
    <w:rPr/>
  </w:style>
  <w:style w:type="character" w:styleId="BodyTextChar" w:customStyle="1">
    <w:name w:val="Body Text Char"/>
    <w:basedOn w:val="DefaultParagraphFont"/>
    <w:qFormat/>
    <w:rPr/>
  </w:style>
  <w:style w:type="character" w:styleId="VerbatimChar" w:customStyle="1">
    <w:name w:val="Verbatim Char"/>
    <w:basedOn w:val="BodyTextChar"/>
    <w:qFormat/>
    <w:rPr>
      <w:rFonts w:ascii="Consolas" w:hAnsi="Consolas"/>
      <w:sz w:val="22"/>
    </w:rPr>
  </w:style>
  <w:style w:type="character" w:styleId="SectionNumber" w:customStyle="1">
    <w:name w:val="Section Number"/>
    <w:basedOn w:val="BodyTextChar"/>
    <w:qFormat/>
    <w:rPr/>
  </w:style>
  <w:style w:type="character" w:styleId="FootnoteCharacters">
    <w:name w:val="Footnote Characters"/>
    <w:basedOn w:val="BodyTextChar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BodyTextChar"/>
    <w:rPr>
      <w:color w:themeColor="accent1" w:val="4F81BD"/>
    </w:rPr>
  </w:style>
  <w:style w:type="character" w:styleId="KeywordTok" w:customStyle="1">
    <w:name w:val="KeywordTok"/>
    <w:basedOn w:val="VerbatimChar"/>
    <w:qFormat/>
    <w:rPr>
      <w:b/>
      <w:color w:val="007020"/>
    </w:rPr>
  </w:style>
  <w:style w:type="character" w:styleId="DataTypeTok" w:customStyle="1">
    <w:name w:val="DataTypeTok"/>
    <w:basedOn w:val="VerbatimChar"/>
    <w:qFormat/>
    <w:rPr>
      <w:color w:val="902000"/>
    </w:rPr>
  </w:style>
  <w:style w:type="character" w:styleId="DecValTok" w:customStyle="1">
    <w:name w:val="DecValTok"/>
    <w:basedOn w:val="VerbatimChar"/>
    <w:qFormat/>
    <w:rPr>
      <w:color w:val="40A070"/>
    </w:rPr>
  </w:style>
  <w:style w:type="character" w:styleId="BaseNTok" w:customStyle="1">
    <w:name w:val="BaseNTok"/>
    <w:basedOn w:val="VerbatimChar"/>
    <w:qFormat/>
    <w:rPr>
      <w:color w:val="40A070"/>
    </w:rPr>
  </w:style>
  <w:style w:type="character" w:styleId="FloatTok" w:customStyle="1">
    <w:name w:val="FloatTok"/>
    <w:basedOn w:val="VerbatimChar"/>
    <w:qFormat/>
    <w:rPr>
      <w:color w:val="40A070"/>
    </w:rPr>
  </w:style>
  <w:style w:type="character" w:styleId="ConstantTok" w:customStyle="1">
    <w:name w:val="ConstantTok"/>
    <w:basedOn w:val="VerbatimChar"/>
    <w:qFormat/>
    <w:rPr>
      <w:color w:val="880000"/>
    </w:rPr>
  </w:style>
  <w:style w:type="character" w:styleId="CharTok" w:customStyle="1">
    <w:name w:val="CharTok"/>
    <w:basedOn w:val="VerbatimChar"/>
    <w:qFormat/>
    <w:rPr>
      <w:color w:val="4070A0"/>
    </w:rPr>
  </w:style>
  <w:style w:type="character" w:styleId="SpecialCharTok" w:customStyle="1">
    <w:name w:val="SpecialCharTok"/>
    <w:basedOn w:val="VerbatimChar"/>
    <w:qFormat/>
    <w:rPr>
      <w:color w:val="4070A0"/>
    </w:rPr>
  </w:style>
  <w:style w:type="character" w:styleId="StringTok" w:customStyle="1">
    <w:name w:val="StringTok"/>
    <w:basedOn w:val="VerbatimChar"/>
    <w:qFormat/>
    <w:rPr>
      <w:color w:val="4070A0"/>
    </w:rPr>
  </w:style>
  <w:style w:type="character" w:styleId="VerbatimStringTok" w:customStyle="1">
    <w:name w:val="VerbatimStringTok"/>
    <w:basedOn w:val="VerbatimChar"/>
    <w:qFormat/>
    <w:rPr>
      <w:color w:val="4070A0"/>
    </w:rPr>
  </w:style>
  <w:style w:type="character" w:styleId="SpecialStringTok" w:customStyle="1">
    <w:name w:val="SpecialStringTok"/>
    <w:basedOn w:val="VerbatimChar"/>
    <w:qFormat/>
    <w:rPr>
      <w:color w:val="BB6688"/>
    </w:rPr>
  </w:style>
  <w:style w:type="character" w:styleId="ImportTok" w:customStyle="1">
    <w:name w:val="ImportTok"/>
    <w:basedOn w:val="VerbatimChar"/>
    <w:qFormat/>
    <w:rPr>
      <w:b/>
      <w:color w:val="008000"/>
    </w:rPr>
  </w:style>
  <w:style w:type="character" w:styleId="CommentTok" w:customStyle="1">
    <w:name w:val="CommentTok"/>
    <w:basedOn w:val="VerbatimChar"/>
    <w:qFormat/>
    <w:rPr>
      <w:i/>
      <w:color w:val="60A0B0"/>
    </w:rPr>
  </w:style>
  <w:style w:type="character" w:styleId="DocumentationTok" w:customStyle="1">
    <w:name w:val="DocumentationTok"/>
    <w:basedOn w:val="VerbatimChar"/>
    <w:qFormat/>
    <w:rPr>
      <w:i/>
      <w:color w:val="BA2121"/>
    </w:rPr>
  </w:style>
  <w:style w:type="character" w:styleId="AnnotationTok" w:customStyle="1">
    <w:name w:val="AnnotationTok"/>
    <w:basedOn w:val="VerbatimChar"/>
    <w:qFormat/>
    <w:rPr>
      <w:b/>
      <w:i/>
      <w:color w:val="60A0B0"/>
    </w:rPr>
  </w:style>
  <w:style w:type="character" w:styleId="CommentVarTok" w:customStyle="1">
    <w:name w:val="CommentVarTok"/>
    <w:basedOn w:val="VerbatimChar"/>
    <w:qFormat/>
    <w:rPr>
      <w:b/>
      <w:i/>
      <w:color w:val="60A0B0"/>
    </w:rPr>
  </w:style>
  <w:style w:type="character" w:styleId="OtherTok" w:customStyle="1">
    <w:name w:val="OtherTok"/>
    <w:basedOn w:val="VerbatimChar"/>
    <w:qFormat/>
    <w:rPr>
      <w:color w:val="007020"/>
    </w:rPr>
  </w:style>
  <w:style w:type="character" w:styleId="FunctionTok" w:customStyle="1">
    <w:name w:val="FunctionTok"/>
    <w:basedOn w:val="VerbatimChar"/>
    <w:qFormat/>
    <w:rPr>
      <w:color w:val="06287E"/>
    </w:rPr>
  </w:style>
  <w:style w:type="character" w:styleId="VariableTok" w:customStyle="1">
    <w:name w:val="VariableTok"/>
    <w:basedOn w:val="VerbatimChar"/>
    <w:qFormat/>
    <w:rPr>
      <w:color w:val="19177C"/>
    </w:rPr>
  </w:style>
  <w:style w:type="character" w:styleId="ControlFlowTok" w:customStyle="1">
    <w:name w:val="ControlFlowTok"/>
    <w:basedOn w:val="VerbatimChar"/>
    <w:qFormat/>
    <w:rPr>
      <w:b/>
      <w:color w:val="007020"/>
    </w:rPr>
  </w:style>
  <w:style w:type="character" w:styleId="OperatorTok" w:customStyle="1">
    <w:name w:val="OperatorTok"/>
    <w:basedOn w:val="VerbatimChar"/>
    <w:qFormat/>
    <w:rPr>
      <w:color w:val="666666"/>
    </w:rPr>
  </w:style>
  <w:style w:type="character" w:styleId="BuiltInTok" w:customStyle="1">
    <w:name w:val="BuiltInTok"/>
    <w:basedOn w:val="VerbatimChar"/>
    <w:qFormat/>
    <w:rPr>
      <w:color w:val="008000"/>
    </w:rPr>
  </w:style>
  <w:style w:type="character" w:styleId="ExtensionTok" w:customStyle="1">
    <w:name w:val="ExtensionTok"/>
    <w:basedOn w:val="VerbatimChar"/>
    <w:qFormat/>
    <w:rPr/>
  </w:style>
  <w:style w:type="character" w:styleId="PreprocessorTok" w:customStyle="1">
    <w:name w:val="PreprocessorTok"/>
    <w:basedOn w:val="VerbatimChar"/>
    <w:qFormat/>
    <w:rPr>
      <w:color w:val="BC7A00"/>
    </w:rPr>
  </w:style>
  <w:style w:type="character" w:styleId="AttributeTok" w:customStyle="1">
    <w:name w:val="AttributeTok"/>
    <w:basedOn w:val="VerbatimChar"/>
    <w:qFormat/>
    <w:rPr>
      <w:color w:val="7D9029"/>
    </w:rPr>
  </w:style>
  <w:style w:type="character" w:styleId="RegionMarkerTok" w:customStyle="1">
    <w:name w:val="RegionMarkerTok"/>
    <w:basedOn w:val="VerbatimChar"/>
    <w:qFormat/>
    <w:rPr/>
  </w:style>
  <w:style w:type="character" w:styleId="InformationTok" w:customStyle="1">
    <w:name w:val="InformationTok"/>
    <w:basedOn w:val="VerbatimChar"/>
    <w:qFormat/>
    <w:rPr>
      <w:b/>
      <w:i/>
      <w:color w:val="60A0B0"/>
    </w:rPr>
  </w:style>
  <w:style w:type="character" w:styleId="WarningTok" w:customStyle="1">
    <w:name w:val="WarningTok"/>
    <w:basedOn w:val="VerbatimChar"/>
    <w:qFormat/>
    <w:rPr>
      <w:b/>
      <w:i/>
      <w:color w:val="60A0B0"/>
    </w:rPr>
  </w:style>
  <w:style w:type="character" w:styleId="AlertTok" w:customStyle="1">
    <w:name w:val="AlertTok"/>
    <w:basedOn w:val="VerbatimChar"/>
    <w:qFormat/>
    <w:rPr>
      <w:b/>
      <w:color w:val="FF0000"/>
    </w:rPr>
  </w:style>
  <w:style w:type="character" w:styleId="ErrorTok" w:customStyle="1">
    <w:name w:val="ErrorTok"/>
    <w:basedOn w:val="VerbatimChar"/>
    <w:qFormat/>
    <w:rPr>
      <w:b/>
      <w:color w:val="FF0000"/>
    </w:rPr>
  </w:style>
  <w:style w:type="character" w:styleId="NormalTok" w:customStyle="1">
    <w:name w:val="NormalTok"/>
    <w:basedOn w:val="VerbatimChar"/>
    <w:qFormat/>
    <w:rPr/>
  </w:style>
  <w:style w:type="character" w:styleId="IndexLink">
    <w:name w:val="Index Link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link w:val="BodyTextChar"/>
    <w:qFormat/>
    <w:pPr>
      <w:spacing w:before="0" w:after="160"/>
      <w:jc w:val="both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link w:val="BodyTextChar"/>
    <w:qFormat/>
    <w:pPr>
      <w:spacing w:before="0" w:after="120"/>
    </w:pPr>
    <w:rPr>
      <w:i/>
    </w:rPr>
  </w:style>
  <w:style w:type="paragraph" w:styleId="Index">
    <w:name w:val="Index"/>
    <w:basedOn w:val="Normal"/>
    <w:qFormat/>
    <w:pPr>
      <w:suppressLineNumbers/>
    </w:pPr>
    <w:rPr/>
  </w:style>
  <w:style w:type="paragraph" w:styleId="FirstParagraph" w:customStyle="1">
    <w:name w:val="First Paragraph"/>
    <w:basedOn w:val="BodyText"/>
    <w:next w:val="BodyText"/>
    <w:qFormat/>
    <w:pPr>
      <w:spacing w:before="0" w:after="160"/>
      <w:jc w:val="both"/>
    </w:pPr>
    <w:rPr/>
  </w:style>
  <w:style w:type="paragraph" w:styleId="Compact" w:customStyle="1">
    <w:name w:val="Compact"/>
    <w:basedOn w:val="BodyText"/>
    <w:qFormat/>
    <w:pPr>
      <w:spacing w:lineRule="auto" w:line="240" w:before="40" w:after="40"/>
      <w:jc w:val="left"/>
    </w:pPr>
    <w:rPr/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lineRule="auto" w:line="240" w:before="0" w:after="240"/>
      <w:contextualSpacing/>
      <w:jc w:val="center"/>
    </w:pPr>
    <w:rPr>
      <w:rFonts w:ascii="Times New Roman" w:hAnsi="Times New Roman" w:eastAsia="Times New Roman" w:cs="Times New Roman"/>
      <w:b/>
      <w:color w:val="442A6B"/>
      <w:sz w:val="44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/>
    <w:rPr>
      <w:rFonts w:ascii="Times New Roman" w:hAnsi="Times New Roman" w:eastAsia="Times New Roman" w:cs="Times New Roman"/>
      <w:spacing w:val="15"/>
      <w:sz w:val="28"/>
      <w:szCs w:val="28"/>
    </w:rPr>
  </w:style>
  <w:style w:type="paragraph" w:styleId="Author" w:customStyle="1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type="paragraph" w:styleId="AbstractTitle" w:customStyle="1">
    <w:name w:val="Abstract Title"/>
    <w:basedOn w:val="Normal"/>
    <w:next w:val="Abstract"/>
    <w:qFormat/>
    <w:pPr>
      <w:keepNext w:val="true"/>
      <w:keepLines/>
      <w:spacing w:before="300" w:after="0"/>
      <w:jc w:val="center"/>
    </w:pPr>
    <w:rPr>
      <w:b/>
      <w:sz w:val="20"/>
      <w:szCs w:val="20"/>
    </w:rPr>
  </w:style>
  <w:style w:type="paragraph" w:styleId="Abstract" w:customStyle="1">
    <w:name w:val="Abstract"/>
    <w:basedOn w:val="Normal"/>
    <w:next w:val="BodyText"/>
    <w:qFormat/>
    <w:pPr>
      <w:keepNext w:val="true"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  <w:pPr/>
    <w:rPr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hanging="0" w:left="480" w:right="480"/>
    </w:pPr>
    <w:rPr/>
  </w:style>
  <w:style w:type="paragraph" w:styleId="FootnoteText">
    <w:name w:val="footnote text"/>
    <w:basedOn w:val="Normal"/>
    <w:uiPriority w:val="9"/>
    <w:unhideWhenUsed/>
    <w:qFormat/>
    <w:pPr/>
    <w:rPr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hanging="0" w:left="480" w:right="480"/>
    </w:pPr>
    <w:rPr/>
  </w:style>
  <w:style w:type="paragraph" w:styleId="DefinitionTerm" w:customStyle="1">
    <w:name w:val="Definition Term"/>
    <w:basedOn w:val="Normal"/>
    <w:next w:val="Definition"/>
    <w:qFormat/>
    <w:pPr>
      <w:keepNext w:val="true"/>
      <w:keepLines/>
      <w:spacing w:before="0" w:after="0"/>
    </w:pPr>
    <w:rPr>
      <w:b/>
    </w:rPr>
  </w:style>
  <w:style w:type="paragraph" w:styleId="Definition" w:customStyle="1">
    <w:name w:val="Definition"/>
    <w:basedOn w:val="Normal"/>
    <w:qFormat/>
    <w:pPr/>
    <w:rPr/>
  </w:style>
  <w:style w:type="paragraph" w:styleId="TableCaption" w:customStyle="1">
    <w:name w:val="Table Caption"/>
    <w:basedOn w:val="Caption"/>
    <w:qFormat/>
    <w:pPr>
      <w:keepNext w:val="true"/>
    </w:pPr>
    <w:rPr/>
  </w:style>
  <w:style w:type="paragraph" w:styleId="ImageCaption" w:customStyle="1">
    <w:name w:val="Image Caption"/>
    <w:basedOn w:val="Caption"/>
    <w:qFormat/>
    <w:pPr/>
    <w:rPr/>
  </w:style>
  <w:style w:type="paragraph" w:styleId="Figure" w:customStyle="1">
    <w:name w:val="Figure"/>
    <w:basedOn w:val="Normal"/>
    <w:qFormat/>
    <w:pPr/>
    <w:rPr/>
  </w:style>
  <w:style w:type="paragraph" w:styleId="CaptionedFigure" w:customStyle="1">
    <w:name w:val="Captioned Figure"/>
    <w:basedOn w:val="Figure"/>
    <w:qFormat/>
    <w:pPr>
      <w:keepNext w:val="true"/>
    </w:pPr>
    <w:rPr/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BodyText"/>
    <w:uiPriority w:val="39"/>
    <w:unhideWhenUsed/>
    <w:qFormat/>
    <w:pPr>
      <w:spacing w:lineRule="auto" w:line="259" w:before="240" w:after="240"/>
      <w:jc w:val="center"/>
      <w:outlineLvl w:val="9"/>
    </w:pPr>
    <w:rPr>
      <w:rFonts w:ascii="Times New Roman" w:hAnsi="Times New Roman" w:eastAsia="Times New Roman" w:cs="Times New Roman"/>
      <w:b/>
      <w:bCs w:val="false"/>
      <w:color w:val="442A6B"/>
      <w:sz w:val="32"/>
    </w:rPr>
  </w:style>
  <w:style w:type="paragraph" w:styleId="SourceCode" w:customStyle="1">
    <w:name w:val="Source Code"/>
    <w:basedOn w:val="Normal"/>
    <w:link w:val="VerbatimChar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paragraph" w:styleId="TOC1">
    <w:name w:val="toc 1"/>
    <w:basedOn w:val="Index"/>
    <w:pPr>
      <w:tabs>
        <w:tab w:val="clear" w:pos="720"/>
        <w:tab w:val="right" w:pos="9355" w:leader="dot"/>
      </w:tabs>
      <w:ind w:hanging="0" w:left="0"/>
    </w:pPr>
    <w:rPr/>
  </w:style>
  <w:style w:type="paragraph" w:styleId="TOC2">
    <w:name w:val="toc 2"/>
    <w:basedOn w:val="Index"/>
    <w:pPr>
      <w:tabs>
        <w:tab w:val="clear" w:pos="720"/>
        <w:tab w:val="right" w:pos="9072" w:leader="dot"/>
      </w:tabs>
      <w:ind w:hanging="0" w:left="283"/>
    </w:pPr>
    <w:rPr/>
  </w:style>
  <w:style w:type="table" w:default="1" w:styleId="Table">
    <w:name w:val="Table"/>
    <w:basedOn w:val="TableNormal"/>
    <w:semiHidden/>
    <w:unhideWhenUsed/>
    <w:qFormat/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  <w:tblCellMar>
        <w:top w:w="40" w:type="dxa"/>
        <w:left w:w="108" w:type="dxa"/>
        <w:bottom w:w="40" w:type="dxa"/>
        <w:right w:w="108" w:type="dxa"/>
      </w:tblCellMar>
    </w:tblPr>
    <w:tblStylePr w:type="firstRow">
      <w:rPr>
        <w:b/>
      </w:rPr>
      <w:tblPr/>
      <w:tcPr>
        <w:tcBorders>
          <w:bottom w:val="single"/>
        </w:tcBorders>
        <w:shd w:val="clear" w:color="auto" w:fill="EFEBF5"/>
        <w:vAlign w:val="bottom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LibreOffice/25.2.3.2$Linux_AARCH64 LibreOffice_project/520$Build-2</Application>
  <AppVersion>15.0000</AppVersion>
  <Pages>1</Pages>
  <Words>83</Words>
  <Characters>475</Characters>
  <CharactersWithSpaces>583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2026-09-22T21:13:23Z</dcterms:created>
  <dc:creator>ООО «СПОРТГИД»</dc:creator>
  <dc:description/>
  <dc:language>ru-RU</dc:language>
  <cp:lastModifiedBy/>
  <dcterms:modified xsi:type="dcterms:W3CDTF">2026-09-22T21:13:26Z</dcterms:modified>
  <cp:revision>1</cp:revision>
  <dc:subject>СпортГид: цифровая платформа детского спорта, версия 1.0</dc:subject>
  <dc:title>Инструкция по эксплуатации. СпортГид: цифровая платформа детского спорта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