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67" w:after="0"/>
        <w:jc w:val="center"/>
        <w:rPr/>
      </w:pPr>
      <w:r>
        <w:rPr/>
        <w:drawing>
          <wp:inline distT="0" distB="0" distL="0" distR="0">
            <wp:extent cx="2520315" cy="61087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567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ООО «СПОРТГИД»</w:t>
      </w:r>
    </w:p>
    <w:p>
      <w:pPr>
        <w:pStyle w:val="Normal"/>
        <w:spacing w:before="3402" w:after="0"/>
        <w:jc w:val="center"/>
        <w:rPr/>
      </w:pPr>
      <w:r>
        <w:rPr>
          <w:rFonts w:eastAsia="Times New Roman"/>
          <w:b/>
          <w:color w:val="442A6B"/>
          <w:sz w:val="44"/>
        </w:rPr>
        <w:t>ОПИСАНИЕ ЖИЗНЕННОГО ЦИКЛА</w:t>
      </w:r>
    </w:p>
    <w:p>
      <w:pPr>
        <w:pStyle w:val="Normal"/>
        <w:spacing w:before="454" w:after="0"/>
        <w:jc w:val="center"/>
        <w:rPr/>
      </w:pPr>
      <w:r>
        <w:rPr>
          <w:rFonts w:eastAsia="Times New Roman"/>
          <w:b w:val="false"/>
          <w:sz w:val="30"/>
        </w:rPr>
        <w:t>программы для ЭВМ «СпортГид: цифровая платформа детского спорта»</w:t>
      </w:r>
    </w:p>
    <w:p>
      <w:pPr>
        <w:pStyle w:val="Normal"/>
        <w:spacing w:before="340" w:after="0"/>
        <w:jc w:val="center"/>
        <w:rPr/>
      </w:pPr>
      <w:r>
        <w:rPr>
          <w:rFonts w:eastAsia="Times New Roman"/>
          <w:b w:val="false"/>
          <w:color w:val="5C5A66"/>
          <w:sz w:val="26"/>
        </w:rPr>
        <w:t>Версия 1.0</w:t>
      </w:r>
    </w:p>
    <w:p>
      <w:pPr>
        <w:pStyle w:val="Normal"/>
        <w:spacing w:before="5102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Москва,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Оглавление</w:t>
          </w:r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"1-2"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2827_1869876486">
            <w:r>
              <w:rPr>
                <w:webHidden/>
                <w:rStyle w:val="IndexLink"/>
              </w:rPr>
              <w:t>Реквизиты программного обеспечения</w:t>
              <w:tab/>
              <w:t>3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29_1869876486">
            <w:r>
              <w:rPr>
                <w:webHidden/>
                <w:rStyle w:val="IndexLink"/>
              </w:rPr>
              <w:t>Введение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831_1869876486">
            <w:r>
              <w:rPr>
                <w:webHidden/>
                <w:rStyle w:val="IndexLink"/>
              </w:rPr>
              <w:t>Модель жизненного цикла</w:t>
              <w:tab/>
              <w:t>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2833_1869876486">
            <w:r>
              <w:rPr>
                <w:webHidden/>
                <w:rStyle w:val="IndexLink"/>
              </w:rPr>
              <w:t>Связь с другими документами комплекта</w:t>
              <w:tab/>
              <w:t>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35_1869876486">
            <w:r>
              <w:rPr>
                <w:webHidden/>
                <w:rStyle w:val="IndexLink"/>
              </w:rPr>
              <w:t>Разработка</w:t>
              <w:tab/>
              <w:t>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37_1869876486">
            <w:r>
              <w:rPr>
                <w:webHidden/>
                <w:rStyle w:val="IndexLink"/>
              </w:rPr>
              <w:t>Тестирование и контроль качества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39_1869876486">
            <w:r>
              <w:rPr>
                <w:webHidden/>
                <w:rStyle w:val="IndexLink"/>
              </w:rPr>
              <w:t>Сборка и контейнеризация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41_1869876486">
            <w:r>
              <w:rPr>
                <w:webHidden/>
                <w:rStyle w:val="IndexLink"/>
              </w:rPr>
              <w:t>Непрерывная интеграция и поставка</w:t>
              <w:tab/>
              <w:t>6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43_1869876486">
            <w:r>
              <w:rPr>
                <w:webHidden/>
                <w:rStyle w:val="IndexLink"/>
              </w:rPr>
              <w:t>Эксплуатация и поддержка</w:t>
              <w:tab/>
              <w:t>6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2845_1869876486">
            <w:r>
              <w:rPr>
                <w:webHidden/>
                <w:rStyle w:val="IndexLink"/>
              </w:rPr>
              <w:t>Обновления и развитие</w:t>
              <w:tab/>
              <w:t>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r>
        <w:br w:type="page"/>
      </w:r>
      <w:bookmarkStart w:id="0" w:name="__RefHeading___Toc2827_1869876486"/>
      <w:bookmarkEnd w:id="0"/>
      <w:r>
        <w:rPr/>
        <w:t>Реквизиты программного обеспечения</w:t>
      </w:r>
    </w:p>
    <w:p>
      <w:pPr>
        <w:pStyle w:val="FirstParagraph"/>
        <w:rPr/>
      </w:pPr>
      <w:r>
        <w:rPr/>
        <w:t xml:space="preserve">Настоящий документ входит в комплект документации программы для ЭВМ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 Во всех документах комплекта используется одно и то же наименование, чтобы сведения заявления, описания и экземпляра программы совпадали.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Реквизит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СпортГид: цифровая платформа детского спорта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Краткое 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Альтернативные наименования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СПОРТГИД; Sportguide; цифровая платформа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Версия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1.0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Правообладатель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9704274501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КПП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770401001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1267700237991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Адрес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119435, Россия, г. Москва, муниципальный округ Хамовники, ул. Малая Пироговская, д. 12, помещ. 49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Класс ПО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12.18 — программное обеспечение для решения отраслевых задач в области культуры, спорта, организации досуга и развлечений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62.01, 63.11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русский язык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Модель поставки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предоставление удалённого доступа через сеть Интернет (SaaS)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https://sportguide.ru/, зеркало https://sportgid.ru/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https://sportguide.ru/documentation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Контакт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  <w:bookmarkStart w:id="1" w:name="реквизиты-программного-обеспечения"/>
            <w:bookmarkEnd w:id="1"/>
          </w:p>
        </w:tc>
      </w:tr>
    </w:tbl>
    <w:p>
      <w:pPr>
        <w:pStyle w:val="Heading1"/>
        <w:rPr/>
      </w:pPr>
      <w:bookmarkStart w:id="2" w:name="__RefHeading___Toc2829_1869876486"/>
      <w:bookmarkEnd w:id="2"/>
      <w:r>
        <w:rPr/>
        <w:t>Введение</w:t>
      </w:r>
    </w:p>
    <w:p>
      <w:pPr>
        <w:pStyle w:val="FirstParagraph"/>
        <w:rPr/>
      </w:pPr>
      <w:r>
        <w:rPr/>
        <w:t xml:space="preserve">Настоящий документ описывает жизненный цикл программы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1.0: разработку, проверку, сборку, развёртывание, сопровождение и развитие.</w:t>
      </w:r>
    </w:p>
    <w:p>
      <w:pPr>
        <w:pStyle w:val="BodyText"/>
        <w:rPr/>
      </w:pPr>
      <w:r>
        <w:rPr/>
        <w:t>Документ предназначен для сотрудников правообладателя, привлекаемых российских специалистов сопровождения и эксперта реестра российского программного обеспечения. Он отвечает на вопросы Правил ведения реестра: кто сопровождает программу, где собирается объектный код, может ли иностранное лицо принудительно обновить экземпляр.</w:t>
      </w:r>
    </w:p>
    <w:p>
      <w:pPr>
        <w:pStyle w:val="Heading2"/>
        <w:rPr/>
      </w:pPr>
      <w:bookmarkStart w:id="3" w:name="__RefHeading___Toc2831_1869876486"/>
      <w:bookmarkStart w:id="4" w:name="модель-жизненного-цикла"/>
      <w:bookmarkEnd w:id="3"/>
      <w:r>
        <w:rPr/>
        <w:t>Модель жизненного цикла</w:t>
      </w:r>
    </w:p>
    <w:p>
      <w:pPr>
        <w:pStyle w:val="FirstParagraph"/>
        <w:rPr/>
      </w:pPr>
      <w:r>
        <w:rPr/>
        <w:t>Используется итеративная модель. Каждая итерация проходит одни и те же стадии, даже если изменение небольшое:</w:t>
      </w:r>
    </w:p>
    <w:p>
      <w:pPr>
        <w:pStyle w:val="Compact"/>
        <w:numPr>
          <w:ilvl w:val="0"/>
          <w:numId w:val="11"/>
        </w:numPr>
        <w:rPr/>
      </w:pPr>
      <w:r>
        <w:rPr/>
        <w:t>Разработка в системе контроля версий Git на серверах в Российской Федерации.</w:t>
      </w:r>
    </w:p>
    <w:p>
      <w:pPr>
        <w:pStyle w:val="Compact"/>
        <w:numPr>
          <w:ilvl w:val="0"/>
          <w:numId w:val="1"/>
        </w:numPr>
        <w:rPr/>
      </w:pPr>
      <w:r>
        <w:rPr/>
        <w:t>Автоматическая проверка: статический анализ и тесты.</w:t>
      </w:r>
    </w:p>
    <w:p>
      <w:pPr>
        <w:pStyle w:val="Compact"/>
        <w:numPr>
          <w:ilvl w:val="0"/>
          <w:numId w:val="1"/>
        </w:numPr>
        <w:rPr/>
      </w:pPr>
      <w:r>
        <w:rPr/>
        <w:t>Сборка контейнерных образов на раннере в Российской Федерации.</w:t>
      </w:r>
    </w:p>
    <w:p>
      <w:pPr>
        <w:pStyle w:val="Compact"/>
        <w:numPr>
          <w:ilvl w:val="0"/>
          <w:numId w:val="1"/>
        </w:numPr>
        <w:rPr/>
      </w:pPr>
      <w:r>
        <w:rPr/>
        <w:t>Развёртывание на серверах в Российской Федерации по решению правообладателя.</w:t>
      </w:r>
    </w:p>
    <w:p>
      <w:pPr>
        <w:pStyle w:val="Compact"/>
        <w:numPr>
          <w:ilvl w:val="0"/>
          <w:numId w:val="1"/>
        </w:numPr>
        <w:rPr/>
      </w:pPr>
      <w:r>
        <w:rPr/>
        <w:t>Эксплуатация: резервное копирование, исправление дефектов, модерация справочников.</w:t>
      </w:r>
    </w:p>
    <w:p>
      <w:pPr>
        <w:pStyle w:val="Compact"/>
        <w:numPr>
          <w:ilvl w:val="0"/>
          <w:numId w:val="1"/>
        </w:numPr>
        <w:rPr/>
      </w:pPr>
      <w:r>
        <w:rPr/>
        <w:t>Планирование следующей итерации.</w:t>
      </w:r>
    </w:p>
    <w:p>
      <w:pPr>
        <w:pStyle w:val="FirstParagraph"/>
        <w:rPr/>
      </w:pPr>
      <w:bookmarkStart w:id="5" w:name="модель-жизненного-цикла"/>
      <w:r>
        <w:rPr/>
        <w:t>Принудительное обновление экземпляра из-за рубежа невозможно. Выкладку инициирует правообладатель, сборка выполняется на российской инфраструктуре.</w:t>
      </w:r>
      <w:bookmarkEnd w:id="5"/>
    </w:p>
    <w:p>
      <w:pPr>
        <w:pStyle w:val="Heading2"/>
        <w:rPr/>
      </w:pPr>
      <w:bookmarkStart w:id="6" w:name="__RefHeading___Toc2833_1869876486"/>
      <w:bookmarkStart w:id="7" w:name="связь-с-другими-документами-комплекта"/>
      <w:bookmarkEnd w:id="6"/>
      <w:r>
        <w:rPr/>
        <w:t>Связь с другими документами комплекта</w:t>
      </w:r>
    </w:p>
    <w:p>
      <w:pPr>
        <w:pStyle w:val="Compact"/>
        <w:numPr>
          <w:ilvl w:val="0"/>
          <w:numId w:val="2"/>
        </w:numPr>
        <w:rPr/>
      </w:pPr>
      <w:r>
        <w:rPr/>
        <w:t>Руководство пользователя — что умеет Платформа с точки зрения ролей.</w:t>
      </w:r>
    </w:p>
    <w:p>
      <w:pPr>
        <w:pStyle w:val="Compact"/>
        <w:numPr>
          <w:ilvl w:val="0"/>
          <w:numId w:val="2"/>
        </w:numPr>
        <w:rPr/>
      </w:pPr>
      <w:r>
        <w:rPr/>
        <w:t>Инструкция по эксплуатации — как установить и обслуживать экземпляр.</w:t>
      </w:r>
    </w:p>
    <w:p>
      <w:pPr>
        <w:pStyle w:val="Compact"/>
        <w:numPr>
          <w:ilvl w:val="0"/>
          <w:numId w:val="2"/>
        </w:numPr>
        <w:rPr/>
      </w:pPr>
      <w:bookmarkStart w:id="8" w:name="связь-с-другими-документами-комплекта"/>
      <w:r>
        <w:rPr/>
        <w:t>Описание технических средств — где хранятся исходный и объектный код и чем они собираются.</w:t>
      </w:r>
      <w:bookmarkEnd w:id="8"/>
    </w:p>
    <w:p>
      <w:pPr>
        <w:pStyle w:val="Heading1"/>
        <w:rPr/>
      </w:pPr>
      <w:bookmarkStart w:id="9" w:name="__RefHeading___Toc2835_1869876486"/>
      <w:bookmarkStart w:id="10" w:name="разработка"/>
      <w:bookmarkEnd w:id="9"/>
      <w:r>
        <w:rPr/>
        <w:t>Разработка</w:t>
      </w:r>
    </w:p>
    <w:p>
      <w:pPr>
        <w:pStyle w:val="FirstParagraph"/>
        <w:rPr/>
      </w:pPr>
      <w:r>
        <w:rPr/>
        <w:t>Исходный текст ведётся в Git. Основной репозиторий размещён на собственном сервере GitLab (установка on-premise) на территории Российской Федерации. Публичные иностранные репозитории — GitHub, GitLab.com и аналоги — не являются местом хранения исходного текста программы и не используются как промышленный origin.</w:t>
      </w:r>
    </w:p>
    <w:p>
      <w:pPr>
        <w:pStyle w:val="BodyText"/>
        <w:rPr/>
      </w:pPr>
      <w:r>
        <w:rPr/>
        <w:t>Изменения вносятся тематическими ветками и запрос на слияние. Основная ветка защищена от прямой записи. Перед слиянием уполномоченный разработчик просматривает diff. История коммитов сохраняет автора и время.</w:t>
      </w:r>
    </w:p>
    <w:p>
      <w:pPr>
        <w:pStyle w:val="BodyText"/>
        <w:rPr/>
      </w:pPr>
      <w:r>
        <w:rPr/>
        <w:t>Языки разработки:</w:t>
      </w:r>
    </w:p>
    <w:p>
      <w:pPr>
        <w:pStyle w:val="Compact"/>
        <w:numPr>
          <w:ilvl w:val="0"/>
          <w:numId w:val="12"/>
        </w:numPr>
        <w:rPr/>
      </w:pPr>
      <w:r>
        <w:rPr/>
        <w:t>Python — серверная часть, бэкофис, фоновые задачи, миграции базы;</w:t>
      </w:r>
    </w:p>
    <w:p>
      <w:pPr>
        <w:pStyle w:val="Compact"/>
        <w:numPr>
          <w:ilvl w:val="0"/>
          <w:numId w:val="13"/>
        </w:numPr>
        <w:rPr/>
      </w:pPr>
      <w:r>
        <w:rPr/>
        <w:t>TypeScript и Vue — публичный сайт и кабинеты;</w:t>
      </w:r>
    </w:p>
    <w:p>
      <w:pPr>
        <w:pStyle w:val="Compact"/>
        <w:numPr>
          <w:ilvl w:val="0"/>
          <w:numId w:val="14"/>
        </w:numPr>
        <w:rPr/>
      </w:pPr>
      <w:r>
        <w:rPr/>
        <w:t>YAML и Shell — конфигурация непрерывной интеграции и автоматизация выкладки.</w:t>
      </w:r>
    </w:p>
    <w:p>
      <w:pPr>
        <w:pStyle w:val="FirstParagraph"/>
        <w:rPr/>
      </w:pPr>
      <w:r>
        <w:rPr/>
        <w:t>Задания разработчикам оформляются как служебные. Исключительное право на результат принадлежит ООО «СПОРТГИД». Привлекаемые российские специалисты работают по договорам, не передающим исключительное право третьим лицам.</w:t>
      </w:r>
    </w:p>
    <w:p>
      <w:pPr>
        <w:pStyle w:val="BodyText"/>
        <w:rPr/>
      </w:pPr>
      <w:r>
        <w:rPr/>
        <w:t xml:space="preserve">Секреты (ключи Django, OAuth, Cognitum, SMTP, бакета) в репозиторий не попадают. В поставке есть только </w:t>
      </w:r>
      <w:r>
        <w:rPr>
          <w:rStyle w:val="VerbatimChar"/>
        </w:rPr>
        <w:t>.env.example</w:t>
      </w:r>
      <w:r>
        <w:rPr/>
        <w:t xml:space="preserve"> с пустыми или стендовыми значениями.</w:t>
      </w:r>
      <w:bookmarkEnd w:id="10"/>
    </w:p>
    <w:p>
      <w:pPr>
        <w:pStyle w:val="Heading1"/>
        <w:rPr/>
      </w:pPr>
      <w:bookmarkStart w:id="11" w:name="__RefHeading___Toc2837_1869876486"/>
      <w:bookmarkStart w:id="12" w:name="тестирование-и-контроль-качества"/>
      <w:bookmarkEnd w:id="11"/>
      <w:r>
        <w:rPr/>
        <w:t>Тестирование и контроль качества</w:t>
      </w:r>
    </w:p>
    <w:p>
      <w:pPr>
        <w:pStyle w:val="FirstParagraph"/>
        <w:rPr/>
      </w:pPr>
      <w:r>
        <w:rPr/>
        <w:t>Контроль качества сочетает автоматические проверки в непрерывной интеграции и ручную приёмку сценариев.</w:t>
      </w:r>
    </w:p>
    <w:p>
      <w:pPr>
        <w:pStyle w:val="BodyText"/>
        <w:rPr/>
      </w:pPr>
      <w:r>
        <w:rPr/>
        <w:t>На этапе непрерывной интеграции выполняются:</w:t>
      </w:r>
    </w:p>
    <w:p>
      <w:pPr>
        <w:pStyle w:val="Compact"/>
        <w:numPr>
          <w:ilvl w:val="0"/>
          <w:numId w:val="15"/>
        </w:numPr>
        <w:rPr/>
      </w:pPr>
      <w:r>
        <w:rPr/>
        <w:t>статический анализ серверной части (</w:t>
      </w:r>
      <w:r>
        <w:rPr>
          <w:rStyle w:val="VerbatimChar"/>
        </w:rPr>
        <w:t>ruff</w:t>
      </w:r>
      <w:r>
        <w:rPr/>
        <w:t>, проверка форматирования);</w:t>
      </w:r>
    </w:p>
    <w:p>
      <w:pPr>
        <w:pStyle w:val="Compact"/>
        <w:numPr>
          <w:ilvl w:val="0"/>
          <w:numId w:val="16"/>
        </w:numPr>
        <w:rPr/>
      </w:pPr>
      <w:r>
        <w:rPr/>
        <w:t>статический анализ сайта (</w:t>
      </w:r>
      <w:r>
        <w:rPr>
          <w:rStyle w:val="VerbatimChar"/>
        </w:rPr>
        <w:t>eslint</w:t>
      </w:r>
      <w:r>
        <w:rPr/>
        <w:t>);</w:t>
      </w:r>
    </w:p>
    <w:p>
      <w:pPr>
        <w:pStyle w:val="Compact"/>
        <w:numPr>
          <w:ilvl w:val="0"/>
          <w:numId w:val="17"/>
        </w:numPr>
        <w:rPr/>
      </w:pPr>
      <w:r>
        <w:rPr/>
        <w:t xml:space="preserve">автоматические тесты Django в каталогах </w:t>
      </w:r>
      <w:r>
        <w:rPr>
          <w:rStyle w:val="VerbatimChar"/>
        </w:rPr>
        <w:t>api/*/tests/</w:t>
      </w:r>
      <w:r>
        <w:rPr/>
        <w:t xml:space="preserve"> — модели, фильтры публикации, заявки, согласия на обработку персональных данных.</w:t>
      </w:r>
    </w:p>
    <w:p>
      <w:pPr>
        <w:pStyle w:val="FirstParagraph"/>
        <w:rPr/>
      </w:pPr>
      <w:r>
        <w:rPr/>
        <w:t>Сборка промышленного образа не выполняется, если стадия проверки завершилась ошибкой для изменений соответствующих каталогов. Это удерживает заведомо сломанный код от попадания в реестр образов.</w:t>
      </w:r>
    </w:p>
    <w:p>
      <w:pPr>
        <w:pStyle w:val="BodyText"/>
        <w:rPr/>
      </w:pPr>
      <w:r>
        <w:rPr/>
        <w:t>Ручная приёмка перед выкладкой включает как минимум:</w:t>
      </w:r>
    </w:p>
    <w:p>
      <w:pPr>
        <w:pStyle w:val="Compact"/>
        <w:numPr>
          <w:ilvl w:val="0"/>
          <w:numId w:val="18"/>
        </w:numPr>
        <w:rPr/>
      </w:pPr>
      <w:r>
        <w:rPr/>
        <w:t>сценарий гостя: каталог, карточка, заявка с согласием;</w:t>
      </w:r>
    </w:p>
    <w:p>
      <w:pPr>
        <w:pStyle w:val="Compact"/>
        <w:numPr>
          <w:ilvl w:val="0"/>
          <w:numId w:val="19"/>
        </w:numPr>
        <w:rPr/>
      </w:pPr>
      <w:r>
        <w:rPr/>
        <w:t>сценарий партнёра: кабинет и входящие обращения;</w:t>
      </w:r>
    </w:p>
    <w:p>
      <w:pPr>
        <w:pStyle w:val="Compact"/>
        <w:numPr>
          <w:ilvl w:val="0"/>
          <w:numId w:val="20"/>
        </w:numPr>
        <w:rPr/>
      </w:pPr>
      <w:r>
        <w:rPr/>
        <w:t>сценарий модератора: перевод записи в статус «опубликовано» и появление её на сайте.</w:t>
      </w:r>
    </w:p>
    <w:p>
      <w:pPr>
        <w:pStyle w:val="FirstParagraph"/>
        <w:rPr/>
      </w:pPr>
      <w:r>
        <w:rPr/>
        <w:t>Публикация на сайте возможна только после установки статуса «опубликовано». Это и продуктовое правило, и критерий приёмки: появление черновика в публичной выдаче считается дефектом.</w:t>
      </w:r>
    </w:p>
    <w:p>
      <w:pPr>
        <w:pStyle w:val="BodyText"/>
        <w:rPr/>
      </w:pPr>
      <w:bookmarkStart w:id="13" w:name="тестирование-и-контроль-качества"/>
      <w:r>
        <w:rPr/>
        <w:t>Нагрузочное тестирование и формальные протоколы испытаний на доверенных операционных системах в комплект версии 1.0 не входят. Интерфейс — веб-клиент; отдельный нативный клиент под ОС не поставляется.</w:t>
      </w:r>
      <w:bookmarkEnd w:id="13"/>
    </w:p>
    <w:p>
      <w:pPr>
        <w:pStyle w:val="Heading1"/>
        <w:rPr/>
      </w:pPr>
      <w:bookmarkStart w:id="14" w:name="__RefHeading___Toc2839_1869876486"/>
      <w:bookmarkStart w:id="15" w:name="сборка-и-контейнеризация"/>
      <w:bookmarkEnd w:id="14"/>
      <w:r>
        <w:rPr/>
        <w:t>Сборка и контейнеризация</w:t>
      </w:r>
    </w:p>
    <w:p>
      <w:pPr>
        <w:pStyle w:val="FirstParagraph"/>
        <w:rPr/>
      </w:pPr>
      <w:r>
        <w:rPr/>
        <w:t>Объектный код поставляется в формате OCI (Docker-образы). В версии 1.0 промышленными артефактами являются:</w:t>
      </w:r>
    </w:p>
    <w:p>
      <w:pPr>
        <w:pStyle w:val="Compact"/>
        <w:numPr>
          <w:ilvl w:val="0"/>
          <w:numId w:val="21"/>
        </w:numPr>
        <w:rPr/>
      </w:pPr>
      <w:r>
        <w:rPr/>
        <w:t>образ API — серверная часть Django, бэкофис, процесс Celery из того же образа;</w:t>
      </w:r>
    </w:p>
    <w:p>
      <w:pPr>
        <w:pStyle w:val="Compact"/>
        <w:numPr>
          <w:ilvl w:val="0"/>
          <w:numId w:val="22"/>
        </w:numPr>
        <w:rPr/>
      </w:pPr>
      <w:r>
        <w:rPr/>
        <w:t>образ сайта — Nuxt с серверным рендерингом.</w:t>
      </w:r>
    </w:p>
    <w:p>
      <w:pPr>
        <w:pStyle w:val="FirstParagraph"/>
        <w:rPr/>
      </w:pPr>
      <w:r>
        <w:rPr/>
        <w:t>Образы PostgreSQL/PostGIS и Redis запускаются на том же сервере, но не являются объектным кодом самой программы: это среда выполнения.</w:t>
      </w:r>
    </w:p>
    <w:p>
      <w:pPr>
        <w:pStyle w:val="BodyText"/>
        <w:rPr/>
      </w:pPr>
      <w:r>
        <w:rPr/>
        <w:t xml:space="preserve">Сборка выполняется на раннере GitLab CI в Российской Федерации под архитектуру </w:t>
      </w:r>
      <w:r>
        <w:rPr>
          <w:rStyle w:val="VerbatimChar"/>
        </w:rPr>
        <w:t>linux/amd64</w:t>
      </w:r>
      <w:r>
        <w:rPr/>
        <w:t>. Локальная сборка на рабочих станциях разработчиков (в том числе на компьютерах с процессорами ARM) не используется как промышленный артефакт: архитектура не совпадает с сервером эксплуатации.</w:t>
      </w:r>
    </w:p>
    <w:p>
      <w:pPr>
        <w:pStyle w:val="BodyText"/>
        <w:rPr/>
      </w:pPr>
      <w:r>
        <w:rPr/>
        <w:t>Образы публикуются в корпоративный реестр (Nexus), расположенный на территории Российской Федерации. Тег промышленного выпуска — короткий идентификатор коммита Git. По тегу можно однозначно сопоставить работающий экземпляр с ревизией исходного текста.</w:t>
      </w:r>
    </w:p>
    <w:p>
      <w:pPr>
        <w:pStyle w:val="BodyText"/>
        <w:rPr/>
      </w:pPr>
      <w:r>
        <w:rPr/>
        <w:t xml:space="preserve">На сервере эксплуатации сборка </w:t>
      </w:r>
      <w:r>
        <w:rPr>
          <w:b/>
          <w:bCs/>
        </w:rPr>
        <w:t>не выполняется</w:t>
      </w:r>
      <w:r>
        <w:rPr/>
        <w:t>. Сервер загружает уже собранные образы. Это и требование воспроизводимости, и защита от сборки «на живую» с неучтёнными зависимостями.</w:t>
      </w:r>
      <w:bookmarkEnd w:id="15"/>
    </w:p>
    <w:p>
      <w:pPr>
        <w:pStyle w:val="Heading1"/>
        <w:rPr/>
      </w:pPr>
      <w:bookmarkStart w:id="16" w:name="__RefHeading___Toc2841_1869876486"/>
      <w:bookmarkStart w:id="17" w:name="непрерывная-интеграция-и-поставка"/>
      <w:bookmarkEnd w:id="16"/>
      <w:r>
        <w:rPr/>
        <w:t>Непрерывная интеграция и поставка</w:t>
      </w:r>
    </w:p>
    <w:p>
      <w:pPr>
        <w:pStyle w:val="FirstParagraph"/>
        <w:rPr/>
      </w:pPr>
      <w:r>
        <w:rPr/>
        <w:t xml:space="preserve">Пайплайн описан в файле </w:t>
      </w:r>
      <w:r>
        <w:rPr>
          <w:rStyle w:val="VerbatimChar"/>
        </w:rPr>
        <w:t>.gitlab-ci.yml</w:t>
      </w:r>
      <w:r>
        <w:rPr/>
        <w:t xml:space="preserve"> и выполняется на self-hosted GitLab правообладателя. Иностранный облачный CI (GitHub Actions, GitLab.com и аналоги) в промышленном контуре не используется.</w:t>
      </w:r>
    </w:p>
    <w:p>
      <w:pPr>
        <w:pStyle w:val="BodyText"/>
        <w:rPr/>
      </w:pPr>
      <w:r>
        <w:rPr/>
        <w:t>Стадии пайплайна:</w:t>
      </w:r>
    </w:p>
    <w:p>
      <w:pPr>
        <w:pStyle w:val="Compact"/>
        <w:numPr>
          <w:ilvl w:val="0"/>
          <w:numId w:val="23"/>
        </w:numPr>
        <w:rPr/>
      </w:pPr>
      <w:r>
        <w:rPr>
          <w:b/>
          <w:bCs/>
        </w:rPr>
        <w:t>lint</w:t>
      </w:r>
      <w:r>
        <w:rPr/>
        <w:t xml:space="preserve"> — проверка кода API и сайта. Ошибка останавливает конвейер для затронутых путей.</w:t>
      </w:r>
    </w:p>
    <w:p>
      <w:pPr>
        <w:pStyle w:val="Compact"/>
        <w:numPr>
          <w:ilvl w:val="0"/>
          <w:numId w:val="24"/>
        </w:numPr>
        <w:rPr/>
      </w:pPr>
      <w:r>
        <w:rPr>
          <w:b/>
          <w:bCs/>
        </w:rPr>
        <w:t>build</w:t>
      </w:r>
      <w:r>
        <w:rPr/>
        <w:t xml:space="preserve"> — сборка образов под </w:t>
      </w:r>
      <w:r>
        <w:rPr>
          <w:rStyle w:val="VerbatimChar"/>
        </w:rPr>
        <w:t>linux/amd64</w:t>
      </w:r>
      <w:r>
        <w:rPr/>
        <w:t xml:space="preserve"> и публикация в российский реестр контейнеров.</w:t>
      </w:r>
    </w:p>
    <w:p>
      <w:pPr>
        <w:pStyle w:val="Compact"/>
        <w:numPr>
          <w:ilvl w:val="0"/>
          <w:numId w:val="25"/>
        </w:numPr>
        <w:rPr/>
      </w:pPr>
      <w:r>
        <w:rPr>
          <w:b/>
          <w:bCs/>
        </w:rPr>
        <w:t>deploy</w:t>
      </w:r>
      <w:r>
        <w:rPr/>
        <w:t xml:space="preserve"> — выкладка на VPS в Российской Федерации. Запуск ручной, уполномоченным сотрудником.</w:t>
      </w:r>
    </w:p>
    <w:p>
      <w:pPr>
        <w:pStyle w:val="FirstParagraph"/>
        <w:rPr/>
      </w:pPr>
      <w:r>
        <w:rPr/>
        <w:t>Сервер эксплуатации образы не собирает. Откат — отдельная джоба с указанием предыдущего тега.</w:t>
      </w:r>
    </w:p>
    <w:p>
      <w:pPr>
        <w:pStyle w:val="BodyText"/>
        <w:rPr/>
      </w:pPr>
      <w:r>
        <w:rPr/>
        <w:t>Пакеты Python и Node при сборке загружаются через российский прокси-репозиторий. Раннер не зависит от иностранных реестров как от единственного источника. При недоступности внешнего зеркала сборка продолжается из кэша прокси.</w:t>
      </w:r>
    </w:p>
    <w:p>
      <w:pPr>
        <w:pStyle w:val="BodyText"/>
        <w:rPr/>
      </w:pPr>
      <w:bookmarkStart w:id="18" w:name="непрерывная-интеграция-и-поставка"/>
      <w:r>
        <w:rPr/>
        <w:t>Миграции базы и сбор статики выполняются командой контейнера API при старте после выкладки. Отдельного «окна миграций» руками на сервере обычно не требуется, но перед выкладкой снимается резервная копия.</w:t>
      </w:r>
      <w:bookmarkEnd w:id="18"/>
    </w:p>
    <w:p>
      <w:pPr>
        <w:pStyle w:val="Heading1"/>
        <w:rPr/>
      </w:pPr>
      <w:bookmarkStart w:id="19" w:name="__RefHeading___Toc2843_1869876486"/>
      <w:bookmarkStart w:id="20" w:name="эксплуатация-и-поддержка"/>
      <w:bookmarkEnd w:id="19"/>
      <w:r>
        <w:rPr/>
        <w:t>Эксплуатация и поддержка</w:t>
      </w:r>
    </w:p>
    <w:p>
      <w:pPr>
        <w:pStyle w:val="FirstParagraph"/>
        <w:rPr/>
      </w:pPr>
      <w:r>
        <w:rPr/>
        <w:t>Гарантийное обслуживание, техническая поддержка и модернизация выполняются ООО «СПОРТГИД» и привлекаемыми российскими специалистами. Иностранная организация жизненный цикл не сопровождает и не имеет права останавливать экземпляр.</w:t>
      </w:r>
    </w:p>
    <w:p>
      <w:pPr>
        <w:pStyle w:val="BodyText"/>
        <w:rPr/>
      </w:pPr>
      <w:r>
        <w:rPr/>
        <w:t>Состав сопровождения версии 1.0:</w:t>
      </w:r>
    </w:p>
    <w:p>
      <w:pPr>
        <w:pStyle w:val="Compact"/>
        <w:numPr>
          <w:ilvl w:val="0"/>
          <w:numId w:val="26"/>
        </w:numPr>
        <w:rPr/>
      </w:pPr>
      <w:r>
        <w:rPr/>
        <w:t>исправление дефектов по обращениям и по внутреннему контролю;</w:t>
      </w:r>
    </w:p>
    <w:p>
      <w:pPr>
        <w:pStyle w:val="Compact"/>
        <w:numPr>
          <w:ilvl w:val="0"/>
          <w:numId w:val="27"/>
        </w:numPr>
        <w:rPr/>
      </w:pPr>
      <w:r>
        <w:rPr/>
        <w:t>обновление справочников (виды спорта, города) и модерация публичного контента;</w:t>
      </w:r>
    </w:p>
    <w:p>
      <w:pPr>
        <w:pStyle w:val="Compact"/>
        <w:numPr>
          <w:ilvl w:val="0"/>
          <w:numId w:val="28"/>
        </w:numPr>
        <w:rPr/>
      </w:pPr>
      <w:r>
        <w:rPr/>
        <w:t>резервное копирование базы данных и медиафайлов;</w:t>
      </w:r>
    </w:p>
    <w:p>
      <w:pPr>
        <w:pStyle w:val="Compact"/>
        <w:numPr>
          <w:ilvl w:val="0"/>
          <w:numId w:val="29"/>
        </w:numPr>
        <w:rPr/>
      </w:pPr>
      <w:r>
        <w:rPr/>
        <w:t>обновление TLS-сертификатов до истечения срока;</w:t>
      </w:r>
    </w:p>
    <w:p>
      <w:pPr>
        <w:pStyle w:val="Compact"/>
        <w:numPr>
          <w:ilvl w:val="0"/>
          <w:numId w:val="30"/>
        </w:numPr>
        <w:rPr/>
      </w:pPr>
      <w:r>
        <w:rPr/>
        <w:t>консультации пользователей по адресу hello@sportguide.ru.</w:t>
      </w:r>
    </w:p>
    <w:p>
      <w:pPr>
        <w:pStyle w:val="FirstParagraph"/>
        <w:rPr/>
      </w:pPr>
      <w:r>
        <w:rPr/>
        <w:t>Канал поддержки пользователей — электронная почта. Срок реакции на инциденты доступности промышленного контура определяется внутренним регламентом правообладателя; для экспертизы достаточно факта, что сопровождение ведётся российским лицом на российской инфраструктуре.</w:t>
      </w:r>
    </w:p>
    <w:p>
      <w:pPr>
        <w:pStyle w:val="BodyText"/>
        <w:rPr/>
      </w:pPr>
      <w:r>
        <w:rPr/>
        <w:t>Персональные данные обрабатываются и хранятся на серверах в Российской Федерации. Резервные копии не вывозятся за пределы РФ.</w:t>
      </w:r>
    </w:p>
    <w:p>
      <w:pPr>
        <w:pStyle w:val="BodyText"/>
        <w:rPr/>
      </w:pPr>
      <w:bookmarkStart w:id="21" w:name="эксплуатация-и-поддержка"/>
      <w:r>
        <w:rPr/>
        <w:t>Модернизация планируется итерациями без смены отраслевого назначения программы.</w:t>
      </w:r>
      <w:bookmarkEnd w:id="21"/>
    </w:p>
    <w:p>
      <w:pPr>
        <w:pStyle w:val="Heading1"/>
        <w:rPr/>
      </w:pPr>
      <w:bookmarkStart w:id="22" w:name="__RefHeading___Toc2845_1869876486"/>
      <w:bookmarkStart w:id="23" w:name="обновления-и-развитие"/>
      <w:bookmarkEnd w:id="22"/>
      <w:r>
        <w:rPr/>
        <w:t>Обновления и развитие</w:t>
      </w:r>
    </w:p>
    <w:p>
      <w:pPr>
        <w:pStyle w:val="FirstParagraph"/>
        <w:rPr/>
      </w:pPr>
      <w:r>
        <w:rPr/>
        <w:t>Новые версии готовит правообладатель. Изменение функционального назначения — отраслевая информационная система детского спорта — не планируется. Развитие идёт в пределах класса 12.18.</w:t>
      </w:r>
    </w:p>
    <w:p>
      <w:pPr>
        <w:pStyle w:val="BodyText"/>
        <w:rPr/>
      </w:pPr>
      <w:r>
        <w:rPr/>
        <w:t>В последующих версиях возможно:</w:t>
      </w:r>
    </w:p>
    <w:p>
      <w:pPr>
        <w:pStyle w:val="Compact"/>
        <w:numPr>
          <w:ilvl w:val="0"/>
          <w:numId w:val="31"/>
        </w:numPr>
        <w:rPr/>
      </w:pPr>
      <w:r>
        <w:rPr/>
        <w:t>подключение российского платёжного шлюза;</w:t>
      </w:r>
    </w:p>
    <w:p>
      <w:pPr>
        <w:pStyle w:val="Compact"/>
        <w:numPr>
          <w:ilvl w:val="0"/>
          <w:numId w:val="32"/>
        </w:numPr>
        <w:rPr/>
      </w:pPr>
      <w:r>
        <w:rPr/>
        <w:t>маркировка рекламы в порядке законодательства;</w:t>
      </w:r>
    </w:p>
    <w:p>
      <w:pPr>
        <w:pStyle w:val="Compact"/>
        <w:numPr>
          <w:ilvl w:val="0"/>
          <w:numId w:val="33"/>
        </w:numPr>
        <w:rPr/>
      </w:pPr>
      <w:r>
        <w:rPr/>
        <w:t>расширение кабинетов родителя и партнёра;</w:t>
      </w:r>
    </w:p>
    <w:p>
      <w:pPr>
        <w:pStyle w:val="Compact"/>
        <w:numPr>
          <w:ilvl w:val="0"/>
          <w:numId w:val="34"/>
        </w:numPr>
        <w:rPr/>
      </w:pPr>
      <w:r>
        <w:rPr/>
        <w:t>мобильное приложение как дополнительный клиент к тому же API.</w:t>
      </w:r>
    </w:p>
    <w:p>
      <w:pPr>
        <w:pStyle w:val="FirstParagraph"/>
        <w:rPr/>
      </w:pPr>
      <w:r>
        <w:rPr/>
        <w:t>Существенные изменения функционала, если они появятся, отражаются в уведомлении оператору реестра в порядке Правил ведения реестра. Документация комплекта при смене версии пересобирается, номер версии на титульном листе обновляется.</w:t>
      </w:r>
    </w:p>
    <w:p>
      <w:pPr>
        <w:pStyle w:val="BodyText"/>
        <w:spacing w:before="0" w:after="160"/>
        <w:jc w:val="both"/>
        <w:rPr/>
      </w:pPr>
      <w:bookmarkStart w:id="24" w:name="обновления-и-развитие"/>
      <w:r>
        <w:rPr/>
        <w:t>Обновление экземпляра на сервере выполняется только по инициативе правообладателя. Механизма удалённого принудительного обновления, управляемого иностранным лицом, нет. Клиентское рабочее место обновлять не нужно: достаточно браузера.</w:t>
      </w:r>
      <w:bookmarkEnd w:id="24"/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134" w:gutter="0" w:header="720" w:top="1134" w:footer="72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Normal"/>
      <w:spacing w:before="0" w:after="160"/>
      <w:jc w:val="center"/>
      <w:rPr/>
    </w:pPr>
    <w:r>
      <w:rPr>
        <w:rFonts w:eastAsia="Times New Roman"/>
        <w:b w:val="false"/>
        <w:color w:val="5C5A66"/>
        <w:sz w:val="18"/>
      </w:rPr>
      <w:t>ООО «СПОРТГИД»  ·  СпортГид: цифровая платформа детского спорта  ·  версия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left"/>
      <w:rPr/>
    </w:pPr>
    <w:r>
      <w:rPr/>
      <w:drawing>
        <wp:inline distT="0" distB="0" distL="0" distR="0">
          <wp:extent cx="1619885" cy="392430"/>
          <wp:effectExtent l="0" t="0" r="0" b="0"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"/>
    <w:lvlOverride w:ilvl="0">
      <w:startOverride w:val="1"/>
    </w:lvlOverride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1"/>
    <w:lvlOverride w:ilvl="0">
      <w:startOverride w:val="1"/>
    </w:lvlOverride>
  </w:num>
  <w:num w:numId="24">
    <w:abstractNumId w:val="1"/>
  </w:num>
  <w:num w:numId="25">
    <w:abstractNumId w:val="1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20" w:after="160"/>
      <w:outlineLvl w:val="0"/>
    </w:pPr>
    <w:rPr>
      <w:rFonts w:ascii="Times New Roman" w:hAnsi="Times New Roman" w:eastAsia="Times New Roman" w:cs="Times New Roman"/>
      <w:b/>
      <w:color w:val="442A6B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320" w:after="160"/>
      <w:outlineLvl w:val="1"/>
    </w:pPr>
    <w:rPr>
      <w:rFonts w:ascii="Times New Roman" w:hAnsi="Times New Roman" w:eastAsia="Times New Roman" w:cs="Times New Roman"/>
      <w:b/>
      <w:color w:val="442A6B"/>
      <w:sz w:val="28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320" w:after="160"/>
      <w:outlineLvl w:val="2"/>
    </w:pPr>
    <w:rPr>
      <w:rFonts w:ascii="Times New Roman" w:hAnsi="Times New Roman" w:eastAsia="Times New Roman" w:cs="Times New Roman"/>
      <w:b/>
      <w:color w:val="442A6B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ascii="Times New Roman" w:hAnsi="Times New Roman" w:eastAsia="Times New Roman" w:cs="Times New Roman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ascii="Times New Roman" w:hAnsi="Times New Roman" w:eastAsia="Times New Roman" w:cs="Times New Roman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ascii="Times New Roman" w:hAnsi="Times New Roman" w:eastAsia="Times New Roman" w:cs="Times New Roman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ascii="Times New Roman" w:hAnsi="Times New Roman" w:eastAsia="Times New Roman" w:cs="Times New Roman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ascii="Times New Roman" w:hAnsi="Times New Roman" w:eastAsia="Times New Roman" w:cs="Times New Roman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Times New Roman" w:hAnsi="Times New Roman" w:eastAsia="Times New Roman" w:cs="Times New Roman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ascii="Times New Roman" w:hAnsi="Times New Roman" w:eastAsia="Times New Roman" w:cs="Times New Roman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Times New Roman" w:hAnsi="Times New Roman" w:eastAsia="Times New Roman" w:cs="Times New Roman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0" w:after="16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BodyText"/>
    <w:next w:val="BodyText"/>
    <w:qFormat/>
    <w:pPr>
      <w:spacing w:before="0" w:after="160"/>
      <w:jc w:val="both"/>
    </w:pPr>
    <w:rPr/>
  </w:style>
  <w:style w:type="paragraph" w:styleId="Compact" w:customStyle="1">
    <w:name w:val="Compact"/>
    <w:basedOn w:val="BodyText"/>
    <w:qFormat/>
    <w:pPr>
      <w:spacing w:lineRule="auto" w:line="240" w:before="40" w:after="40"/>
      <w:jc w:val="left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240"/>
      <w:contextualSpacing/>
      <w:jc w:val="center"/>
    </w:pPr>
    <w:rPr>
      <w:rFonts w:ascii="Times New Roman" w:hAnsi="Times New Roman" w:eastAsia="Times New Roman" w:cs="Times New Roman"/>
      <w:b/>
      <w:color w:val="442A6B"/>
      <w:sz w:val="44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ascii="Times New Roman" w:hAnsi="Times New Roman" w:eastAsia="Times New Roman" w:cs="Times New Roman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240"/>
      <w:jc w:val="center"/>
      <w:outlineLvl w:val="9"/>
    </w:pPr>
    <w:rPr>
      <w:rFonts w:ascii="Times New Roman" w:hAnsi="Times New Roman" w:eastAsia="Times New Roman" w:cs="Times New Roman"/>
      <w:b/>
      <w:bCs w:val="false"/>
      <w:color w:val="442A6B"/>
      <w:sz w:val="32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OC1">
    <w:name w:val="toc 1"/>
    <w:basedOn w:val="Index"/>
    <w:pPr>
      <w:tabs>
        <w:tab w:val="clear" w:pos="720"/>
        <w:tab w:val="right" w:pos="9355" w:leader="dot"/>
      </w:tabs>
      <w:ind w:hanging="0" w:left="0"/>
    </w:pPr>
    <w:rPr/>
  </w:style>
  <w:style w:type="paragraph" w:styleId="TOC2">
    <w:name w:val="toc 2"/>
    <w:basedOn w:val="Index"/>
    <w:pPr>
      <w:tabs>
        <w:tab w:val="clear" w:pos="720"/>
        <w:tab w:val="right" w:pos="9072" w:leader="dot"/>
      </w:tabs>
      <w:ind w:hanging="0" w:left="283"/>
    </w:pPr>
    <w:rPr/>
  </w:style>
  <w:style w:type="table" w:default="1" w:styleId="Table">
    <w:name w:val="Table"/>
    <w:basedOn w:val="TableNormal"/>
    <w:semiHidden/>
    <w:unhideWhenUsed/>
    <w:qFormat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40" w:type="dxa"/>
        <w:left w:w="108" w:type="dxa"/>
        <w:bottom w:w="40" w:type="dxa"/>
        <w:right w:w="108" w:type="dxa"/>
      </w:tblCellMar>
    </w:tblPr>
    <w:tblStylePr w:type="firstRow">
      <w:rPr>
        <w:b/>
      </w:rPr>
      <w:tblPr/>
      <w:tcPr>
        <w:tcBorders>
          <w:bottom w:val="single"/>
        </w:tcBorders>
        <w:shd w:val="clear" w:color="auto" w:fill="EFEBF5"/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LibreOffice/25.2.3.2$Linux_AARCH64 LibreOffice_project/520$Build-2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2026-09-22T21:13:24Z</dcterms:created>
  <dc:creator>ООО «СПОРТГИД»</dc:creator>
  <dc:description/>
  <dc:language>ru-RU</dc:language>
  <cp:lastModifiedBy/>
  <dcterms:modified xsi:type="dcterms:W3CDTF">2026-09-22T21:13:27Z</dcterms:modified>
  <cp:revision>1</cp:revision>
  <dc:subject>СпортГид: цифровая платформа детского спорта, версия 1.0</dc:subject>
  <dc:title>Описание жизненного цикла. СпортГид: цифровая платформа детского спорта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