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567" w:after="0"/>
        <w:jc w:val="center"/>
        <w:rPr/>
      </w:pPr>
      <w:r>
        <w:rPr/>
        <w:drawing>
          <wp:inline distT="0" distB="0" distL="0" distR="0">
            <wp:extent cx="2520315" cy="610870"/>
            <wp:effectExtent l="0" t="0" r="0" b="0"/>
            <wp:docPr id="1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315" cy="610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before="567" w:after="0"/>
        <w:jc w:val="center"/>
        <w:rPr/>
      </w:pPr>
      <w:r>
        <w:rPr>
          <w:rFonts w:eastAsia="Times New Roman"/>
          <w:b w:val="false"/>
          <w:color w:val="5C5A66"/>
          <w:sz w:val="24"/>
        </w:rPr>
        <w:t>ООО «СПОРТГИД»</w:t>
      </w:r>
    </w:p>
    <w:p>
      <w:pPr>
        <w:pStyle w:val="Normal"/>
        <w:spacing w:before="3402" w:after="0"/>
        <w:jc w:val="center"/>
        <w:rPr/>
      </w:pPr>
      <w:r>
        <w:rPr>
          <w:rFonts w:eastAsia="Times New Roman"/>
          <w:b/>
          <w:color w:val="442A6B"/>
          <w:sz w:val="44"/>
        </w:rPr>
        <w:t>ОПИСАНИЕ ТЕХНИЧЕСКИХ СРЕДСТВ</w:t>
      </w:r>
    </w:p>
    <w:p>
      <w:pPr>
        <w:pStyle w:val="Normal"/>
        <w:spacing w:before="454" w:after="0"/>
        <w:jc w:val="center"/>
        <w:rPr/>
      </w:pPr>
      <w:r>
        <w:rPr>
          <w:rFonts w:eastAsia="Times New Roman"/>
          <w:b w:val="false"/>
          <w:sz w:val="30"/>
        </w:rPr>
        <w:t>программы для ЭВМ «СпортГид: цифровая платформа детского спорта»</w:t>
      </w:r>
    </w:p>
    <w:p>
      <w:pPr>
        <w:pStyle w:val="Normal"/>
        <w:spacing w:before="340" w:after="0"/>
        <w:jc w:val="center"/>
        <w:rPr/>
      </w:pPr>
      <w:r>
        <w:rPr>
          <w:rFonts w:eastAsia="Times New Roman"/>
          <w:b w:val="false"/>
          <w:color w:val="5C5A66"/>
          <w:sz w:val="26"/>
        </w:rPr>
        <w:t>Версия 1.0</w:t>
      </w:r>
    </w:p>
    <w:p>
      <w:pPr>
        <w:pStyle w:val="Normal"/>
        <w:spacing w:before="5102" w:after="0"/>
        <w:jc w:val="center"/>
        <w:rPr/>
      </w:pPr>
      <w:r>
        <w:rPr>
          <w:rFonts w:eastAsia="Times New Roman"/>
          <w:b w:val="false"/>
          <w:color w:val="5C5A66"/>
          <w:sz w:val="24"/>
        </w:rPr>
        <w:t>Москва, 2026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br w:type="page"/>
          </w:r>
          <w:r>
            <w:rPr/>
            <w:t>Оглавление</w:t>
          </w:r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r>
            <w:fldChar w:fldCharType="begin"/>
          </w:r>
          <w:r>
            <w:rPr>
              <w:webHidden/>
              <w:rStyle w:val="IndexLink"/>
            </w:rPr>
            <w:instrText xml:space="preserve"> TOC \z \o "1-2" \u \h</w:instrText>
          </w:r>
          <w:r>
            <w:rPr>
              <w:webHidden/>
              <w:rStyle w:val="IndexLink"/>
            </w:rPr>
            <w:fldChar w:fldCharType="separate"/>
          </w:r>
          <w:hyperlink w:anchor="__RefHeading___Toc4144_1869876486">
            <w:r>
              <w:rPr>
                <w:webHidden/>
                <w:rStyle w:val="IndexLink"/>
              </w:rPr>
              <w:t>Реквизиты программного обеспечения</w:t>
              <w:tab/>
              <w:t>3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4146_1869876486">
            <w:r>
              <w:rPr>
                <w:webHidden/>
                <w:rStyle w:val="IndexLink"/>
              </w:rPr>
              <w:t>Описание технических средств</w:t>
              <w:tab/>
              <w:t>4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4148_1869876486">
            <w:r>
              <w:rPr>
                <w:webHidden/>
                <w:rStyle w:val="IndexLink"/>
              </w:rPr>
              <w:t>Назначение документа</w:t>
              <w:tab/>
              <w:t>4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4150_1869876486">
            <w:r>
              <w:rPr>
                <w:webHidden/>
                <w:rStyle w:val="IndexLink"/>
              </w:rPr>
              <w:t>Сведения о программном обеспечении</w:t>
              <w:tab/>
              <w:t>4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4152_1869876486">
            <w:r>
              <w:rPr>
                <w:webHidden/>
                <w:rStyle w:val="IndexLink"/>
              </w:rPr>
              <w:t>Хранение исходного текста программного обеспечения</w:t>
              <w:tab/>
              <w:t>4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4154_1869876486">
            <w:r>
              <w:rPr>
                <w:webHidden/>
                <w:rStyle w:val="IndexLink"/>
              </w:rPr>
              <w:t>Система контроля версий</w:t>
              <w:tab/>
              <w:t>4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4156_1869876486">
            <w:r>
              <w:rPr>
                <w:webHidden/>
                <w:rStyle w:val="IndexLink"/>
              </w:rPr>
              <w:t>Языки программирования</w:t>
              <w:tab/>
              <w:t>5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4158_1869876486">
            <w:r>
              <w:rPr>
                <w:webHidden/>
                <w:rStyle w:val="IndexLink"/>
              </w:rPr>
              <w:t>Форматы файлов исходного кода</w:t>
              <w:tab/>
              <w:t>5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4160_1869876486">
            <w:r>
              <w:rPr>
                <w:webHidden/>
                <w:rStyle w:val="IndexLink"/>
              </w:rPr>
              <w:t>Хранение объектного кода программного обеспечения</w:t>
              <w:tab/>
              <w:t>5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4162_1869876486">
            <w:r>
              <w:rPr>
                <w:webHidden/>
                <w:rStyle w:val="IndexLink"/>
              </w:rPr>
              <w:t>Форма поставки</w:t>
              <w:tab/>
              <w:t>5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4164_1869876486">
            <w:r>
              <w:rPr>
                <w:webHidden/>
                <w:rStyle w:val="IndexLink"/>
              </w:rPr>
              <w:t>Состав объектного кода версии 1.0</w:t>
              <w:tab/>
              <w:t>6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4166_1869876486">
            <w:r>
              <w:rPr>
                <w:webHidden/>
                <w:rStyle w:val="IndexLink"/>
              </w:rPr>
              <w:t>Версионирование</w:t>
              <w:tab/>
              <w:t>6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4168_1869876486">
            <w:r>
              <w:rPr>
                <w:webHidden/>
                <w:rStyle w:val="IndexLink"/>
              </w:rPr>
              <w:t>Средства компиляции исходного текста в объектный код</w:t>
              <w:tab/>
              <w:t>6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4170_1869876486">
            <w:r>
              <w:rPr>
                <w:webHidden/>
                <w:rStyle w:val="IndexLink"/>
              </w:rPr>
              <w:t>Обеспечение безопасности хранения и сборки</w:t>
              <w:tab/>
              <w:t>7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4172_1869876486">
            <w:r>
              <w:rPr>
                <w:webHidden/>
                <w:rStyle w:val="IndexLink"/>
              </w:rPr>
              <w:t>Контроль доступа</w:t>
              <w:tab/>
              <w:t>7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4174_1869876486">
            <w:r>
              <w:rPr>
                <w:webHidden/>
                <w:rStyle w:val="IndexLink"/>
              </w:rPr>
              <w:t>Контроль изменений</w:t>
              <w:tab/>
              <w:t>7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4176_1869876486">
            <w:r>
              <w:rPr>
                <w:webHidden/>
                <w:rStyle w:val="IndexLink"/>
              </w:rPr>
              <w:t>Целостность артефактов</w:t>
              <w:tab/>
              <w:t>7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4178_1869876486">
            <w:r>
              <w:rPr>
                <w:webHidden/>
                <w:rStyle w:val="IndexLink"/>
              </w:rPr>
              <w:t>Персональные данные</w:t>
              <w:tab/>
              <w:t>8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4180_1869876486">
            <w:r>
              <w:rPr>
                <w:webHidden/>
                <w:rStyle w:val="IndexLink"/>
              </w:rPr>
              <w:t>Средства предоставления доступа и «лицензионные ключи»</w:t>
              <w:tab/>
              <w:t>8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4182_1869876486">
            <w:r>
              <w:rPr>
                <w:webHidden/>
                <w:rStyle w:val="IndexLink"/>
              </w:rPr>
              <w:t>Основные зависимости и лицензии</w:t>
              <w:tab/>
              <w:t>8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4184_1869876486">
            <w:r>
              <w:rPr>
                <w:webHidden/>
                <w:rStyle w:val="IndexLink"/>
              </w:rPr>
              <w:t>Серверная часть</w:t>
              <w:tab/>
              <w:t>9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4186_1869876486">
            <w:r>
              <w:rPr>
                <w:webHidden/>
                <w:rStyle w:val="IndexLink"/>
              </w:rPr>
              <w:t>Сайт</w:t>
              <w:tab/>
              <w:t>9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4188_1869876486">
            <w:r>
              <w:rPr>
                <w:webHidden/>
                <w:rStyle w:val="IndexLink"/>
              </w:rPr>
              <w:t>Среда выполнения</w:t>
              <w:tab/>
              <w:t>10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pStyle w:val="Heading1"/>
        <w:rPr/>
      </w:pPr>
      <w:r>
        <w:br w:type="page"/>
      </w:r>
      <w:bookmarkStart w:id="0" w:name="__RefHeading___Toc4144_1869876486"/>
      <w:bookmarkEnd w:id="0"/>
      <w:r>
        <w:rPr/>
        <w:t>Реквизиты программного обеспечения</w:t>
      </w:r>
    </w:p>
    <w:p>
      <w:pPr>
        <w:pStyle w:val="FirstParagraph"/>
        <w:rPr/>
      </w:pPr>
      <w:r>
        <w:rPr/>
        <w:t xml:space="preserve">Настоящий документ входит в комплект документации программы для ЭВМ </w:t>
      </w:r>
      <w:r>
        <w:rPr>
          <w:b/>
          <w:bCs/>
        </w:rPr>
        <w:t>«СпортГид: цифровая платформа детского спорта»</w:t>
      </w:r>
      <w:r>
        <w:rPr/>
        <w:t xml:space="preserve"> версии 1.0. Во всех документах комплекта используется одно и то же наименование, чтобы сведения заявления, описания и экземпляра программы совпадали.</w:t>
      </w:r>
    </w:p>
    <w:tbl>
      <w:tblPr>
        <w:tblStyle w:val="Table"/>
        <w:tblW w:w="5000" w:type="pct"/>
        <w:jc w:val="left"/>
        <w:tblInd w:w="113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020" w:noHBand="0" w:noVBand="0" w:firstColumn="0" w:lastRow="0" w:lastColumn="0" w:firstRow="1"/>
      </w:tblPr>
      <w:tblGrid>
        <w:gridCol w:w="4677"/>
        <w:gridCol w:w="4677"/>
      </w:tblGrid>
      <w:tr>
        <w:trPr>
          <w:tblHeader w:val="true"/>
        </w:trPr>
        <w:tc>
          <w:tcPr>
            <w:tcW w:w="4677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Реквизит</w:t>
            </w:r>
          </w:p>
        </w:tc>
        <w:tc>
          <w:tcPr>
            <w:tcW w:w="4677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Значение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Наименование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СпортГид: цифровая платформа детского спорта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Краткое наименование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СпортГид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Альтернативные наименования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СПОРТГИД; Sportguide; цифровая платформа «СПОРТГИД»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Версия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1.0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Правообладатель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ООО «СПОРТГИД»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ИНН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9704274501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КПП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770401001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ОГРН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1267700237991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Адрес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119435, Россия, г. Москва, муниципальный округ Хамовники, ул. Малая Пироговская, д. 12, помещ. 49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Класс ПО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12.18 — программное обеспечение для решения отраслевых задач в области культуры, спорта, организации досуга и развлечений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ОКПД2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62.01, 63.11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Интерфейс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русский язык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Модель поставки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предоставление удалённого доступа через сеть Интернет (SaaS)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Сайт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https://sportguide.ru/, зеркало https://sportgid.ru/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Документация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https://sportguide.ru/documentation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Контакт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hello@sportguide.ru</w:t>
            </w:r>
            <w:bookmarkStart w:id="1" w:name="реквизиты-программного-обеспечения"/>
            <w:bookmarkEnd w:id="1"/>
          </w:p>
        </w:tc>
      </w:tr>
    </w:tbl>
    <w:p>
      <w:pPr>
        <w:pStyle w:val="Heading1"/>
        <w:rPr/>
      </w:pPr>
      <w:bookmarkStart w:id="2" w:name="__RefHeading___Toc4146_1869876486"/>
      <w:bookmarkEnd w:id="2"/>
      <w:r>
        <w:rPr/>
        <w:t>Описание технических средств</w:t>
      </w:r>
    </w:p>
    <w:p>
      <w:pPr>
        <w:pStyle w:val="Heading2"/>
        <w:rPr/>
      </w:pPr>
      <w:bookmarkStart w:id="3" w:name="__RefHeading___Toc4148_1869876486"/>
      <w:bookmarkStart w:id="4" w:name="назначение-документа"/>
      <w:bookmarkEnd w:id="3"/>
      <w:r>
        <w:rPr/>
        <w:t>Назначение документа</w:t>
      </w:r>
    </w:p>
    <w:p>
      <w:pPr>
        <w:pStyle w:val="FirstParagraph"/>
        <w:rPr/>
      </w:pPr>
      <w:r>
        <w:rPr/>
        <w:t>Настоящий документ содержит описание технических средств хранения исходного текста программного обеспечения, хранения объектного кода, компиляции исходного текста в объектный код, а также средств предоставления доступа к программе. Документ подготовлен в связи с требованиями Правил формирования и ведения единого реестра российских программ для электронных вычислительных машин и баз данных.</w:t>
      </w:r>
    </w:p>
    <w:p>
      <w:pPr>
        <w:pStyle w:val="BodyText"/>
        <w:rPr/>
      </w:pPr>
      <w:r>
        <w:rPr/>
        <w:t xml:space="preserve">Документ относится к программе </w:t>
      </w:r>
      <w:r>
        <w:rPr>
          <w:b/>
          <w:bCs/>
        </w:rPr>
        <w:t>«СпортГид: цифровая платформа детского спорта»</w:t>
      </w:r>
      <w:r>
        <w:rPr/>
        <w:t xml:space="preserve"> версии 1.0.</w:t>
      </w:r>
      <w:bookmarkEnd w:id="4"/>
    </w:p>
    <w:p>
      <w:pPr>
        <w:pStyle w:val="Heading2"/>
        <w:rPr/>
      </w:pPr>
      <w:bookmarkStart w:id="5" w:name="__RefHeading___Toc4150_1869876486"/>
      <w:bookmarkStart w:id="6" w:name="сведения-о-программном-обеспечении"/>
      <w:bookmarkEnd w:id="5"/>
      <w:r>
        <w:rPr/>
        <w:t>Сведения о программном обеспечении</w:t>
      </w:r>
    </w:p>
    <w:p>
      <w:pPr>
        <w:pStyle w:val="FirstParagraph"/>
        <w:rPr/>
      </w:pPr>
      <w:r>
        <w:rPr>
          <w:b/>
          <w:bCs/>
        </w:rPr>
        <w:t>Наименование:</w:t>
      </w:r>
      <w:r>
        <w:rPr/>
        <w:t xml:space="preserve"> СпортГид: цифровая платформа детского спорта</w:t>
      </w:r>
    </w:p>
    <w:p>
      <w:pPr>
        <w:pStyle w:val="BodyText"/>
        <w:rPr/>
      </w:pPr>
      <w:r>
        <w:rPr>
          <w:b/>
          <w:bCs/>
        </w:rPr>
        <w:t>Краткое наименование:</w:t>
      </w:r>
      <w:r>
        <w:rPr/>
        <w:t xml:space="preserve"> СпортГид</w:t>
      </w:r>
    </w:p>
    <w:p>
      <w:pPr>
        <w:pStyle w:val="BodyText"/>
        <w:rPr/>
      </w:pPr>
      <w:r>
        <w:rPr>
          <w:b/>
          <w:bCs/>
        </w:rPr>
        <w:t>Альтернативные наименования:</w:t>
      </w:r>
      <w:r>
        <w:rPr/>
        <w:t xml:space="preserve"> СПОРТГИД; Sportguide; цифровая платформа «СПОРТГИД»</w:t>
      </w:r>
    </w:p>
    <w:p>
      <w:pPr>
        <w:pStyle w:val="BodyText"/>
        <w:rPr/>
      </w:pPr>
      <w:r>
        <w:rPr>
          <w:b/>
          <w:bCs/>
        </w:rPr>
        <w:t>Версия:</w:t>
      </w:r>
      <w:r>
        <w:rPr/>
        <w:t xml:space="preserve"> 1.0</w:t>
      </w:r>
    </w:p>
    <w:p>
      <w:pPr>
        <w:pStyle w:val="BodyText"/>
        <w:rPr/>
      </w:pPr>
      <w:r>
        <w:rPr>
          <w:b/>
          <w:bCs/>
        </w:rPr>
        <w:t>Класс ПО:</w:t>
      </w:r>
      <w:r>
        <w:rPr/>
        <w:t xml:space="preserve"> 12.18 — программное обеспечение для решения отраслевых задач в области культуры, спорта, организации досуга и развлечений</w:t>
      </w:r>
    </w:p>
    <w:p>
      <w:pPr>
        <w:pStyle w:val="BodyText"/>
        <w:rPr/>
      </w:pPr>
      <w:r>
        <w:rPr>
          <w:b/>
          <w:bCs/>
        </w:rPr>
        <w:t>Правообладатель:</w:t>
      </w:r>
      <w:r>
        <w:rPr/>
        <w:t xml:space="preserve"> ООО «СПОРТГИД»</w:t>
      </w:r>
    </w:p>
    <w:p>
      <w:pPr>
        <w:pStyle w:val="BodyText"/>
        <w:rPr/>
      </w:pPr>
      <w:r>
        <w:rPr>
          <w:b/>
          <w:bCs/>
        </w:rPr>
        <w:t>Назначение:</w:t>
      </w:r>
      <w:r>
        <w:rPr/>
        <w:t xml:space="preserve"> информационное обеспечение детского спорта: каталог секций, афиша событий, заявки, кабинеты партнёров и модерация контента.</w:t>
      </w:r>
      <w:bookmarkEnd w:id="6"/>
    </w:p>
    <w:p>
      <w:pPr>
        <w:pStyle w:val="Heading1"/>
        <w:rPr/>
      </w:pPr>
      <w:bookmarkStart w:id="7" w:name="__RefHeading___Toc4152_1869876486"/>
      <w:bookmarkStart w:id="8" w:name="X906fbe0400dffa8eaf2583b251226c5858a5ae0"/>
      <w:bookmarkEnd w:id="7"/>
      <w:r>
        <w:rPr/>
        <w:t>Хранение исходного текста программного обеспечения</w:t>
      </w:r>
    </w:p>
    <w:p>
      <w:pPr>
        <w:pStyle w:val="Heading2"/>
        <w:rPr/>
      </w:pPr>
      <w:bookmarkStart w:id="9" w:name="__RefHeading___Toc4154_1869876486"/>
      <w:bookmarkStart w:id="10" w:name="система-контроля-версий"/>
      <w:bookmarkEnd w:id="9"/>
      <w:r>
        <w:rPr/>
        <w:t>Система контроля версий</w:t>
      </w:r>
    </w:p>
    <w:p>
      <w:pPr>
        <w:pStyle w:val="FirstParagraph"/>
        <w:rPr/>
      </w:pPr>
      <w:r>
        <w:rPr/>
        <w:t>Исходный текст хранится в системе Git на сервере GitLab, установленном на собственных мощностях (on-premise) на территории Российской Федерации. Это основное и единственное промышленное хранилище. Публичные иностранные репозитории не используются ни как origin, ни как зеркало с записью.</w:t>
      </w:r>
    </w:p>
    <w:tbl>
      <w:tblPr>
        <w:tblStyle w:val="Table"/>
        <w:tblW w:w="5000" w:type="pct"/>
        <w:jc w:val="left"/>
        <w:tblInd w:w="113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020" w:noHBand="0" w:noVBand="0" w:firstColumn="0" w:lastRow="0" w:lastColumn="0" w:firstRow="1"/>
      </w:tblPr>
      <w:tblGrid>
        <w:gridCol w:w="5757"/>
        <w:gridCol w:w="3597"/>
      </w:tblGrid>
      <w:tr>
        <w:trPr>
          <w:tblHeader w:val="true"/>
        </w:trPr>
        <w:tc>
          <w:tcPr>
            <w:tcW w:w="5757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Характеристика</w:t>
            </w:r>
          </w:p>
        </w:tc>
        <w:tc>
          <w:tcPr>
            <w:tcW w:w="3597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Значение</w:t>
            </w:r>
          </w:p>
        </w:tc>
      </w:tr>
      <w:tr>
        <w:trPr/>
        <w:tc>
          <w:tcPr>
            <w:tcW w:w="575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Система контроля версий</w:t>
            </w:r>
          </w:p>
        </w:tc>
        <w:tc>
          <w:tcPr>
            <w:tcW w:w="359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Git</w:t>
            </w:r>
          </w:p>
        </w:tc>
      </w:tr>
      <w:tr>
        <w:trPr/>
        <w:tc>
          <w:tcPr>
            <w:tcW w:w="575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Серверная платформа</w:t>
            </w:r>
          </w:p>
        </w:tc>
        <w:tc>
          <w:tcPr>
            <w:tcW w:w="359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GitLab, установка на собственных серверах (on-premise)</w:t>
            </w:r>
          </w:p>
        </w:tc>
      </w:tr>
      <w:tr>
        <w:trPr/>
        <w:tc>
          <w:tcPr>
            <w:tcW w:w="575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Местонахождение серверов</w:t>
            </w:r>
          </w:p>
        </w:tc>
        <w:tc>
          <w:tcPr>
            <w:tcW w:w="359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Российская Федерация</w:t>
            </w:r>
          </w:p>
        </w:tc>
      </w:tr>
      <w:tr>
        <w:trPr/>
        <w:tc>
          <w:tcPr>
            <w:tcW w:w="575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Иностранные публичные репозитории</w:t>
            </w:r>
          </w:p>
        </w:tc>
        <w:tc>
          <w:tcPr>
            <w:tcW w:w="359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не используются как основное хранилище исходного текста</w:t>
            </w:r>
          </w:p>
        </w:tc>
      </w:tr>
    </w:tbl>
    <w:p>
      <w:pPr>
        <w:pStyle w:val="BodyText"/>
        <w:rPr/>
      </w:pPr>
      <w:bookmarkStart w:id="11" w:name="система-контроля-версий"/>
      <w:r>
        <w:rPr/>
        <w:t>Доступ к репозиторию имеют уполномоченные сотрудники правообладателя и привлекаемые российские разработчики по договору. Аутентификация — по SSH-ключам или персональным токенам. Основная ветка защищена от прямой записи: изменение попадает в неё только через запрос на слияние после просмотра.</w:t>
      </w:r>
      <w:bookmarkEnd w:id="11"/>
    </w:p>
    <w:p>
      <w:pPr>
        <w:pStyle w:val="Heading2"/>
        <w:rPr/>
      </w:pPr>
      <w:bookmarkStart w:id="12" w:name="__RefHeading___Toc4156_1869876486"/>
      <w:bookmarkEnd w:id="12"/>
      <w:r>
        <w:rPr/>
        <w:t>Языки программирования</w:t>
      </w:r>
    </w:p>
    <w:tbl>
      <w:tblPr>
        <w:tblStyle w:val="Table"/>
        <w:tblW w:w="7920" w:type="dxa"/>
        <w:jc w:val="left"/>
        <w:tblInd w:w="113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020" w:noHBand="0" w:noVBand="0" w:firstColumn="0" w:lastRow="0" w:lastColumn="0" w:firstRow="1"/>
      </w:tblPr>
      <w:tblGrid>
        <w:gridCol w:w="3960"/>
        <w:gridCol w:w="3959"/>
      </w:tblGrid>
      <w:tr>
        <w:trPr>
          <w:tblHeader w:val="true"/>
        </w:trPr>
        <w:tc>
          <w:tcPr>
            <w:tcW w:w="3960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Компонент</w:t>
            </w:r>
          </w:p>
        </w:tc>
        <w:tc>
          <w:tcPr>
            <w:tcW w:w="3959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Язык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Серверная часть</w:t>
            </w:r>
          </w:p>
        </w:tc>
        <w:tc>
          <w:tcPr>
            <w:tcW w:w="3959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Python 3.13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Сайт и кабинеты</w:t>
            </w:r>
          </w:p>
        </w:tc>
        <w:tc>
          <w:tcPr>
            <w:tcW w:w="3959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TypeScript, Vue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Конфигурация</w:t>
            </w:r>
          </w:p>
        </w:tc>
        <w:tc>
          <w:tcPr>
            <w:tcW w:w="3959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YAML, переменные окружения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Автоматизация</w:t>
            </w:r>
          </w:p>
        </w:tc>
        <w:tc>
          <w:tcPr>
            <w:tcW w:w="3959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Shell (Bash)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Миграции базы данных</w:t>
            </w:r>
          </w:p>
        </w:tc>
        <w:tc>
          <w:tcPr>
            <w:tcW w:w="3959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SQL (Django migrations)</w:t>
            </w:r>
            <w:bookmarkStart w:id="13" w:name="языки-программирования"/>
            <w:bookmarkEnd w:id="13"/>
          </w:p>
        </w:tc>
      </w:tr>
    </w:tbl>
    <w:p>
      <w:pPr>
        <w:pStyle w:val="Heading2"/>
        <w:rPr/>
      </w:pPr>
      <w:bookmarkStart w:id="14" w:name="__RefHeading___Toc4158_1869876486"/>
      <w:bookmarkEnd w:id="14"/>
      <w:r>
        <w:rPr/>
        <w:t>Форматы файлов исходного кода</w:t>
      </w:r>
    </w:p>
    <w:p>
      <w:pPr>
        <w:pStyle w:val="FirstParagraph"/>
        <w:rPr/>
      </w:pPr>
      <w:r>
        <w:rPr>
          <w:rStyle w:val="VerbatimChar"/>
        </w:rPr>
        <w:t>.py</w:t>
      </w:r>
      <w:r>
        <w:rPr/>
        <w:t xml:space="preserve">, </w:t>
      </w:r>
      <w:r>
        <w:rPr>
          <w:rStyle w:val="VerbatimChar"/>
        </w:rPr>
        <w:t>.vue</w:t>
      </w:r>
      <w:r>
        <w:rPr/>
        <w:t xml:space="preserve">, </w:t>
      </w:r>
      <w:r>
        <w:rPr>
          <w:rStyle w:val="VerbatimChar"/>
        </w:rPr>
        <w:t>.ts</w:t>
      </w:r>
      <w:r>
        <w:rPr/>
        <w:t xml:space="preserve">, </w:t>
      </w:r>
      <w:r>
        <w:rPr>
          <w:rStyle w:val="VerbatimChar"/>
        </w:rPr>
        <w:t>.js</w:t>
      </w:r>
      <w:r>
        <w:rPr/>
        <w:t xml:space="preserve">, </w:t>
      </w:r>
      <w:r>
        <w:rPr>
          <w:rStyle w:val="VerbatimChar"/>
        </w:rPr>
        <w:t>.css</w:t>
      </w:r>
      <w:r>
        <w:rPr/>
        <w:t xml:space="preserve">, </w:t>
      </w:r>
      <w:r>
        <w:rPr>
          <w:rStyle w:val="VerbatimChar"/>
        </w:rPr>
        <w:t>.html</w:t>
      </w:r>
      <w:r>
        <w:rPr/>
        <w:t xml:space="preserve">, </w:t>
      </w:r>
      <w:r>
        <w:rPr>
          <w:rStyle w:val="VerbatimChar"/>
        </w:rPr>
        <w:t>.yml</w:t>
      </w:r>
      <w:r>
        <w:rPr/>
        <w:t xml:space="preserve">, </w:t>
      </w:r>
      <w:r>
        <w:rPr>
          <w:rStyle w:val="VerbatimChar"/>
        </w:rPr>
        <w:t>.yaml</w:t>
      </w:r>
      <w:r>
        <w:rPr/>
        <w:t xml:space="preserve">, </w:t>
      </w:r>
      <w:r>
        <w:rPr>
          <w:rStyle w:val="VerbatimChar"/>
        </w:rPr>
        <w:t>.sql</w:t>
      </w:r>
      <w:r>
        <w:rPr/>
        <w:t xml:space="preserve">, </w:t>
      </w:r>
      <w:r>
        <w:rPr>
          <w:rStyle w:val="VerbatimChar"/>
        </w:rPr>
        <w:t>.sh</w:t>
      </w:r>
      <w:r>
        <w:rPr/>
        <w:t xml:space="preserve">, </w:t>
      </w:r>
      <w:r>
        <w:rPr>
          <w:rStyle w:val="VerbatimChar"/>
        </w:rPr>
        <w:t>.md</w:t>
      </w:r>
      <w:r>
        <w:rPr/>
        <w:t>.</w:t>
      </w:r>
    </w:p>
    <w:p>
      <w:pPr>
        <w:pStyle w:val="BodyText"/>
        <w:rPr/>
      </w:pPr>
      <w:r>
        <w:rPr/>
        <w:t xml:space="preserve">Копия исходного текста для заявления в реестр поставляется файлом </w:t>
      </w:r>
      <w:r>
        <w:rPr>
          <w:rStyle w:val="VerbatimChar"/>
        </w:rPr>
        <w:t>SPORTGID-1.0-source.pdf</w:t>
      </w:r>
      <w:r>
        <w:rPr/>
        <w:t xml:space="preserve"> в формате PDF/A-2b (ISO 19005-2). Файл формируется из системы контроля версий без секретов, без каталога бизнес-плана и без бинарных вложений. Для развёртывания проверочного стенда дополнительно формируется архив </w:t>
      </w:r>
      <w:r>
        <w:rPr>
          <w:rStyle w:val="VerbatimChar"/>
        </w:rPr>
        <w:t>SPORTGID-1.0-source.zip</w:t>
      </w:r>
      <w:r>
        <w:rPr/>
        <w:t xml:space="preserve"> с теми же текстовыми файлами.</w:t>
      </w:r>
    </w:p>
    <w:p>
      <w:pPr>
        <w:pStyle w:val="BodyText"/>
        <w:rPr/>
      </w:pPr>
      <w:bookmarkStart w:id="15" w:name="X906fbe0400dffa8eaf2583b251226c5858a5ae0"/>
      <w:r>
        <w:rPr/>
        <w:t>PDF не заменяет Git: это выгрузка для оператора реестра. Рабочая копия для сборки — репозиторий либо ZIP.</w:t>
      </w:r>
      <w:bookmarkEnd w:id="15"/>
    </w:p>
    <w:p>
      <w:pPr>
        <w:pStyle w:val="Heading1"/>
        <w:rPr/>
      </w:pPr>
      <w:bookmarkStart w:id="16" w:name="__RefHeading___Toc4160_1869876486"/>
      <w:bookmarkStart w:id="17" w:name="Xf7518ff1dff10a8d6cc4196352bae6920ba79a2"/>
      <w:bookmarkEnd w:id="16"/>
      <w:r>
        <w:rPr/>
        <w:t>Хранение объектного кода программного обеспечения</w:t>
      </w:r>
    </w:p>
    <w:p>
      <w:pPr>
        <w:pStyle w:val="Heading2"/>
        <w:rPr/>
      </w:pPr>
      <w:bookmarkStart w:id="18" w:name="__RefHeading___Toc4162_1869876486"/>
      <w:bookmarkEnd w:id="18"/>
      <w:r>
        <w:rPr/>
        <w:t>Форма поставки</w:t>
      </w:r>
    </w:p>
    <w:p>
      <w:pPr>
        <w:pStyle w:val="FirstParagraph"/>
        <w:rPr/>
      </w:pPr>
      <w:r>
        <w:rPr/>
        <w:t>Объектный код — это не установочный файл для рабочего места пользователя, а контейнерные образы, из которых собирается серверный экземпляр. Пользователь получает доступ через браузер.</w:t>
      </w:r>
    </w:p>
    <w:tbl>
      <w:tblPr>
        <w:tblStyle w:val="Table"/>
        <w:tblW w:w="5000" w:type="pct"/>
        <w:jc w:val="left"/>
        <w:tblInd w:w="113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020" w:noHBand="0" w:noVBand="0" w:firstColumn="0" w:lastRow="0" w:lastColumn="0" w:firstRow="1"/>
      </w:tblPr>
      <w:tblGrid>
        <w:gridCol w:w="5757"/>
        <w:gridCol w:w="3597"/>
      </w:tblGrid>
      <w:tr>
        <w:trPr>
          <w:tblHeader w:val="true"/>
        </w:trPr>
        <w:tc>
          <w:tcPr>
            <w:tcW w:w="5757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Характеристика</w:t>
            </w:r>
          </w:p>
        </w:tc>
        <w:tc>
          <w:tcPr>
            <w:tcW w:w="3597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Значение</w:t>
            </w:r>
          </w:p>
        </w:tc>
      </w:tr>
      <w:tr>
        <w:trPr/>
        <w:tc>
          <w:tcPr>
            <w:tcW w:w="575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Формат</w:t>
            </w:r>
          </w:p>
        </w:tc>
        <w:tc>
          <w:tcPr>
            <w:tcW w:w="359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контейнерные образы Docker (OCI Image Format)</w:t>
            </w:r>
          </w:p>
        </w:tc>
      </w:tr>
      <w:tr>
        <w:trPr/>
        <w:tc>
          <w:tcPr>
            <w:tcW w:w="575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Реестр образов</w:t>
            </w:r>
          </w:p>
        </w:tc>
        <w:tc>
          <w:tcPr>
            <w:tcW w:w="359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корпоративный Nexus / контейнерный реестр на территории Российской Федерации</w:t>
            </w:r>
          </w:p>
        </w:tc>
      </w:tr>
      <w:tr>
        <w:trPr/>
        <w:tc>
          <w:tcPr>
            <w:tcW w:w="575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Экземпляр эксплуатации</w:t>
            </w:r>
          </w:p>
        </w:tc>
        <w:tc>
          <w:tcPr>
            <w:tcW w:w="359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VPS хостинг-провайдера Selectel, дата-центр в Российской Федерации</w:t>
            </w:r>
            <w:bookmarkStart w:id="19" w:name="форма-поставки"/>
            <w:bookmarkEnd w:id="19"/>
          </w:p>
        </w:tc>
      </w:tr>
    </w:tbl>
    <w:p>
      <w:pPr>
        <w:pStyle w:val="Heading2"/>
        <w:rPr/>
      </w:pPr>
      <w:bookmarkStart w:id="20" w:name="__RefHeading___Toc4164_1869876486"/>
      <w:bookmarkEnd w:id="20"/>
      <w:r>
        <w:rPr/>
        <w:t>Состав объектного кода версии 1.0</w:t>
      </w:r>
    </w:p>
    <w:tbl>
      <w:tblPr>
        <w:tblStyle w:val="Table"/>
        <w:tblW w:w="5000" w:type="pct"/>
        <w:jc w:val="left"/>
        <w:tblInd w:w="113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020" w:noHBand="0" w:noVBand="0" w:firstColumn="0" w:lastRow="0" w:lastColumn="0" w:firstRow="1"/>
      </w:tblPr>
      <w:tblGrid>
        <w:gridCol w:w="4677"/>
        <w:gridCol w:w="4677"/>
      </w:tblGrid>
      <w:tr>
        <w:trPr>
          <w:tblHeader w:val="true"/>
        </w:trPr>
        <w:tc>
          <w:tcPr>
            <w:tcW w:w="4677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Артефакт</w:t>
            </w:r>
          </w:p>
        </w:tc>
        <w:tc>
          <w:tcPr>
            <w:tcW w:w="4677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Описание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Образ API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серверная часть, бэкофис, воркер Celery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Образ сайта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Nuxt (серверный рендеринг)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Образы СУБД и Redis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стандартные образы PostgreSQL/PostGIS и Redis, запускаемые на том же сервере в Российской Федерации</w:t>
            </w:r>
          </w:p>
        </w:tc>
      </w:tr>
    </w:tbl>
    <w:p>
      <w:pPr>
        <w:pStyle w:val="BodyText"/>
        <w:rPr/>
      </w:pPr>
      <w:r>
        <w:rPr/>
        <w:t>Образы СУБД и Redis относятся к среде выполнения. Исходный текст Платформы их не включает; они поднимаются отдельными контейнерами.</w:t>
      </w:r>
    </w:p>
    <w:p>
      <w:pPr>
        <w:pStyle w:val="Heading2"/>
        <w:rPr/>
      </w:pPr>
      <w:bookmarkStart w:id="21" w:name="__RefHeading___Toc4166_1869876486"/>
      <w:bookmarkStart w:id="22" w:name="версионирование"/>
      <w:bookmarkEnd w:id="21"/>
      <w:r>
        <w:rPr/>
        <w:t>Версионирование</w:t>
      </w:r>
    </w:p>
    <w:p>
      <w:pPr>
        <w:pStyle w:val="FirstParagraph"/>
        <w:rPr/>
      </w:pPr>
      <w:r>
        <w:rPr/>
        <w:t>Промышленный тег образа — короткий идентификатор коммита Git. Документация комплекта соответствует выпуску 1.0. По тегу можно восстановить, какая ревизия исходного текста работает на сервере, и выполнить откат.</w:t>
      </w:r>
    </w:p>
    <w:p>
      <w:pPr>
        <w:pStyle w:val="BodyText"/>
        <w:rPr/>
      </w:pPr>
      <w:bookmarkStart w:id="23" w:name="Xf7518ff1dff10a8d6cc4196352bae6920ba79a2"/>
      <w:bookmarkStart w:id="24" w:name="версионирование"/>
      <w:r>
        <w:rPr/>
        <w:t>Медиафайлы (фотографии карточек, загруженные партнёрами) хранятся в S3-совместимом объектном хранилище Selectel в российской зоне. Они не являются исходным текстом программы и в PDF/A-выгрузку не входят.</w:t>
      </w:r>
      <w:bookmarkEnd w:id="23"/>
      <w:bookmarkEnd w:id="24"/>
    </w:p>
    <w:p>
      <w:pPr>
        <w:pStyle w:val="Heading1"/>
        <w:rPr/>
      </w:pPr>
      <w:bookmarkStart w:id="25" w:name="__RefHeading___Toc4168_1869876486"/>
      <w:bookmarkStart w:id="26" w:name="Xbe4d802e7ca0920d463be878decf40d2986f126"/>
      <w:bookmarkEnd w:id="25"/>
      <w:r>
        <w:rPr/>
        <w:t>Средства компиляции исходного текста в объектный код</w:t>
      </w:r>
    </w:p>
    <w:p>
      <w:pPr>
        <w:pStyle w:val="FirstParagraph"/>
        <w:rPr/>
      </w:pPr>
      <w:r>
        <w:rPr/>
        <w:t>Компиляция (сборка) выполняется на территории Российской Федерации. Отдельного кросс-компилятора под иностранную облачную инфраструктуру нет.</w:t>
      </w:r>
    </w:p>
    <w:tbl>
      <w:tblPr>
        <w:tblStyle w:val="Table"/>
        <w:tblW w:w="7920" w:type="dxa"/>
        <w:jc w:val="left"/>
        <w:tblInd w:w="113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020" w:noHBand="0" w:noVBand="0" w:firstColumn="0" w:lastRow="0" w:lastColumn="0" w:firstRow="1"/>
      </w:tblPr>
      <w:tblGrid>
        <w:gridCol w:w="3960"/>
        <w:gridCol w:w="3959"/>
      </w:tblGrid>
      <w:tr>
        <w:trPr>
          <w:tblHeader w:val="true"/>
        </w:trPr>
        <w:tc>
          <w:tcPr>
            <w:tcW w:w="3960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Средство</w:t>
            </w:r>
          </w:p>
        </w:tc>
        <w:tc>
          <w:tcPr>
            <w:tcW w:w="3959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Назначение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Интерпретатор Python 3.13</w:t>
            </w:r>
          </w:p>
        </w:tc>
        <w:tc>
          <w:tcPr>
            <w:tcW w:w="3959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серверная часть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Среда Node.js (сборка Nuxt)</w:t>
            </w:r>
          </w:p>
        </w:tc>
        <w:tc>
          <w:tcPr>
            <w:tcW w:w="3959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сайт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Docker Engine</w:t>
            </w:r>
          </w:p>
        </w:tc>
        <w:tc>
          <w:tcPr>
            <w:tcW w:w="3959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упаковка в OCI-образы</w:t>
            </w:r>
          </w:p>
        </w:tc>
      </w:tr>
      <w:tr>
        <w:trPr/>
        <w:tc>
          <w:tcPr>
            <w:tcW w:w="396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GitLab CI runner</w:t>
            </w:r>
          </w:p>
        </w:tc>
        <w:tc>
          <w:tcPr>
            <w:tcW w:w="3959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автоматическая сборка под linux/amd64</w:t>
            </w:r>
          </w:p>
        </w:tc>
      </w:tr>
    </w:tbl>
    <w:p>
      <w:pPr>
        <w:pStyle w:val="BodyText"/>
        <w:rPr/>
      </w:pPr>
      <w:r>
        <w:rPr/>
        <w:t>Раннер сборки размещён в контуре правообладателя либо в привлекаемой российской ИТ-инфраструктуре. Пакеты зависимостей при сборке загружаются через прокси-репозиторий на территории Российской Федерации, чтобы сборка не зависела от иностранных реестров как от единственного источника.</w:t>
      </w:r>
    </w:p>
    <w:p>
      <w:pPr>
        <w:pStyle w:val="BodyText"/>
        <w:rPr/>
      </w:pPr>
      <w:r>
        <w:rPr/>
        <w:t xml:space="preserve">На сервере эксплуатации сборка </w:t>
      </w:r>
      <w:r>
        <w:rPr>
          <w:b/>
          <w:bCs/>
        </w:rPr>
        <w:t>не выполняется</w:t>
      </w:r>
      <w:r>
        <w:rPr/>
        <w:t>: сервер загружает уже собранные образы. Это исключает ситуацию, когда промышленный экземпляр собран «вручную» с неучтённым составом пакетов.</w:t>
      </w:r>
    </w:p>
    <w:p>
      <w:pPr>
        <w:pStyle w:val="BodyText"/>
        <w:rPr/>
      </w:pPr>
      <w:bookmarkStart w:id="27" w:name="Xbe4d802e7ca0920d463be878decf40d2986f126"/>
      <w:r>
        <w:rPr/>
        <w:t>Иностранный облачный CI (GitHub Actions, GitLab.com и аналоги) в промышленном контуре не используется. Локальная сборка на ноутбуке разработчика допустима только для стенда и не является объектным кодом выпуска 1.0.</w:t>
      </w:r>
      <w:bookmarkEnd w:id="27"/>
    </w:p>
    <w:p>
      <w:pPr>
        <w:pStyle w:val="Heading1"/>
        <w:rPr/>
      </w:pPr>
      <w:bookmarkStart w:id="28" w:name="__RefHeading___Toc4170_1869876486"/>
      <w:bookmarkStart w:id="29" w:name="Xf0f45c4fb8e739eabfa937a74898a906c6194f8"/>
      <w:bookmarkEnd w:id="28"/>
      <w:r>
        <w:rPr/>
        <w:t>Обеспечение безопасности хранения и сборки</w:t>
      </w:r>
    </w:p>
    <w:p>
      <w:pPr>
        <w:pStyle w:val="Heading2"/>
        <w:rPr/>
      </w:pPr>
      <w:bookmarkStart w:id="30" w:name="__RefHeading___Toc4172_1869876486"/>
      <w:bookmarkStart w:id="31" w:name="контроль-доступа"/>
      <w:bookmarkEnd w:id="30"/>
      <w:r>
        <w:rPr/>
        <w:t>Контроль доступа</w:t>
      </w:r>
    </w:p>
    <w:p>
      <w:pPr>
        <w:pStyle w:val="FirstParagraph"/>
        <w:rPr/>
      </w:pPr>
      <w:r>
        <w:rPr/>
        <w:t>Доступ к репозиторию исходного текста и к реестру образов имеют только уполномоченные лица. В GitLab действует ролевая модель: разработчик не получает административных прав на промышленный сервер без отдельного решения.</w:t>
      </w:r>
    </w:p>
    <w:p>
      <w:pPr>
        <w:pStyle w:val="BodyText"/>
        <w:rPr/>
      </w:pPr>
      <w:r>
        <w:rPr/>
        <w:t xml:space="preserve">Промышленный сервер принимает вход по SSH-ключам. Парольный вход по сети отключён. Секреты экземпляра хранятся в </w:t>
      </w:r>
      <w:r>
        <w:rPr>
          <w:rStyle w:val="VerbatimChar"/>
        </w:rPr>
        <w:t>.env</w:t>
      </w:r>
      <w:r>
        <w:rPr/>
        <w:t xml:space="preserve"> на сервере и не попадают в образы.</w:t>
      </w:r>
      <w:bookmarkEnd w:id="31"/>
    </w:p>
    <w:p>
      <w:pPr>
        <w:pStyle w:val="Heading2"/>
        <w:rPr/>
      </w:pPr>
      <w:bookmarkStart w:id="32" w:name="__RefHeading___Toc4174_1869876486"/>
      <w:bookmarkStart w:id="33" w:name="контроль-изменений"/>
      <w:bookmarkEnd w:id="32"/>
      <w:r>
        <w:rPr/>
        <w:t>Контроль изменений</w:t>
      </w:r>
    </w:p>
    <w:p>
      <w:pPr>
        <w:pStyle w:val="FirstParagraph"/>
        <w:rPr/>
      </w:pPr>
      <w:r>
        <w:rPr/>
        <w:t>Каждое изменение исходного текста оставляет запись в Git: автор, время, сообщение. Основная ветка защищена. Слияние без просмотра уполномоченным разработчиком не выполняется.</w:t>
      </w:r>
    </w:p>
    <w:p>
      <w:pPr>
        <w:pStyle w:val="BodyText"/>
        <w:rPr/>
      </w:pPr>
      <w:bookmarkStart w:id="34" w:name="контроль-изменений"/>
      <w:r>
        <w:rPr/>
        <w:t>Выкладка на промышленный контур — ручная джоба. Автоматического деплоя «с каждой ветки» нет.</w:t>
      </w:r>
      <w:bookmarkEnd w:id="34"/>
    </w:p>
    <w:p>
      <w:pPr>
        <w:pStyle w:val="Heading2"/>
        <w:rPr/>
      </w:pPr>
      <w:bookmarkStart w:id="35" w:name="__RefHeading___Toc4176_1869876486"/>
      <w:bookmarkStart w:id="36" w:name="целостность-артефактов"/>
      <w:bookmarkEnd w:id="35"/>
      <w:r>
        <w:rPr/>
        <w:t>Целостность артефактов</w:t>
      </w:r>
    </w:p>
    <w:p>
      <w:pPr>
        <w:pStyle w:val="FirstParagraph"/>
        <w:rPr/>
      </w:pPr>
      <w:r>
        <w:rPr/>
        <w:t>Непрерывная интеграция выполняет линт и тесты до публикации образа. Образ помечается идентификатором коммита, поэтому работающий контейнер сопоставим с конкретным деревом исходного текста.</w:t>
      </w:r>
    </w:p>
    <w:p>
      <w:pPr>
        <w:pStyle w:val="BodyText"/>
        <w:rPr/>
      </w:pPr>
      <w:r>
        <w:rPr/>
        <w:t xml:space="preserve">Секреты не включаются в образы, в архив исходных текстов и в PDF/A-выгрузку. В поставке остаётся только </w:t>
      </w:r>
      <w:r>
        <w:rPr>
          <w:rStyle w:val="VerbatimChar"/>
        </w:rPr>
        <w:t>.env.example</w:t>
      </w:r>
      <w:r>
        <w:rPr/>
        <w:t>.</w:t>
      </w:r>
      <w:bookmarkEnd w:id="36"/>
    </w:p>
    <w:p>
      <w:pPr>
        <w:pStyle w:val="Heading2"/>
        <w:rPr/>
      </w:pPr>
      <w:bookmarkStart w:id="37" w:name="__RefHeading___Toc4178_1869876486"/>
      <w:bookmarkStart w:id="38" w:name="персональные-данные"/>
      <w:bookmarkEnd w:id="37"/>
      <w:r>
        <w:rPr/>
        <w:t>Персональные данные</w:t>
      </w:r>
    </w:p>
    <w:p>
      <w:pPr>
        <w:pStyle w:val="FirstParagraph"/>
        <w:rPr/>
      </w:pPr>
      <w:bookmarkStart w:id="39" w:name="Xf0f45c4fb8e739eabfa937a74898a906c6194f8"/>
      <w:bookmarkStart w:id="40" w:name="персональные-данные"/>
      <w:r>
        <w:rPr/>
        <w:t>Обработка выполняется на серверах в Российской Федерации. Согласия фиксируются в формах заявок вместе с меткой времени. Трансграничная передача персональных данных не является назначением системы. ИИ-советник направляет во внешнюю платформу Cognitum только те сведения, которые пользователь ввёл в диалог; ключ и endpoint задаются правообладателем, инфраструктура Cognitum — российская.</w:t>
      </w:r>
      <w:bookmarkEnd w:id="39"/>
      <w:bookmarkEnd w:id="40"/>
    </w:p>
    <w:p>
      <w:pPr>
        <w:pStyle w:val="Heading1"/>
        <w:rPr/>
      </w:pPr>
      <w:bookmarkStart w:id="41" w:name="__RefHeading___Toc4180_1869876486"/>
      <w:bookmarkStart w:id="42" w:name="Xb92d6ba7c055fa5ef77e9125ab4888321ae3f21"/>
      <w:bookmarkEnd w:id="41"/>
      <w:r>
        <w:rPr/>
        <w:t>Средства предоставления доступа и «лицензионные ключи»</w:t>
      </w:r>
    </w:p>
    <w:p>
      <w:pPr>
        <w:pStyle w:val="FirstParagraph"/>
        <w:rPr/>
      </w:pPr>
      <w:r>
        <w:rPr/>
        <w:t>Программа не использует отдельный сервер активации, генерации или проверки лицензионных ключей, в том числе иностранный. Пользователь не вводит серийный номер. Гость и родитель открывают сайт в браузере; партнёр пользуется кабинетом после одобрения заявки и активации тарифа.</w:t>
      </w:r>
    </w:p>
    <w:p>
      <w:pPr>
        <w:pStyle w:val="BodyText"/>
        <w:rPr/>
      </w:pPr>
      <w:r>
        <w:rPr/>
        <w:t>Модель доступа версии 1.0:</w:t>
      </w:r>
    </w:p>
    <w:p>
      <w:pPr>
        <w:pStyle w:val="Compact"/>
        <w:numPr>
          <w:ilvl w:val="0"/>
          <w:numId w:val="1"/>
        </w:numPr>
        <w:rPr/>
      </w:pPr>
      <w:r>
        <w:rPr/>
        <w:t>родитель и гость работают через браузер с экземпляром, размещённым в Российской Федерации;</w:t>
      </w:r>
    </w:p>
    <w:p>
      <w:pPr>
        <w:pStyle w:val="Compact"/>
        <w:numPr>
          <w:ilvl w:val="0"/>
          <w:numId w:val="1"/>
        </w:numPr>
        <w:rPr/>
      </w:pPr>
      <w:r>
        <w:rPr/>
        <w:t>партнёр получает простую неисключительную лицензию по публичной оферте;</w:t>
      </w:r>
    </w:p>
    <w:p>
      <w:pPr>
        <w:pStyle w:val="Compact"/>
        <w:numPr>
          <w:ilvl w:val="0"/>
          <w:numId w:val="1"/>
        </w:numPr>
        <w:rPr/>
      </w:pPr>
      <w:r>
        <w:rPr/>
        <w:t xml:space="preserve">объём функций кабинета задаётся тарифом в модуле </w:t>
      </w:r>
      <w:r>
        <w:rPr>
          <w:rStyle w:val="VerbatimChar"/>
        </w:rPr>
        <w:t>billing</w:t>
      </w:r>
      <w:r>
        <w:rPr/>
        <w:t>;</w:t>
      </w:r>
    </w:p>
    <w:p>
      <w:pPr>
        <w:pStyle w:val="Compact"/>
        <w:numPr>
          <w:ilvl w:val="0"/>
          <w:numId w:val="1"/>
        </w:numPr>
        <w:rPr/>
      </w:pPr>
      <w:r>
        <w:rPr/>
        <w:t>тариф активирует уполномоченный сотрудник правообладателя вручную.</w:t>
      </w:r>
    </w:p>
    <w:p>
      <w:pPr>
        <w:pStyle w:val="FirstParagraph"/>
        <w:rPr/>
      </w:pPr>
      <w:r>
        <w:rPr/>
        <w:t>Учёт тарифов ведётся в той же базе данных, что и остальная Платформа, на серверах в Российской Федерации. Иностранное лицо не может принудительно отключить или обновить экземпляр: для этого нет ни внешнего лицензионного сервера, ни канала обновления, управляемого из-за рубежа.</w:t>
      </w:r>
    </w:p>
    <w:p>
      <w:pPr>
        <w:pStyle w:val="BodyText"/>
        <w:rPr/>
      </w:pPr>
      <w:bookmarkStart w:id="43" w:name="Xb92d6ba7c055fa5ef77e9125ab4888321ae3f21"/>
      <w:r>
        <w:rPr/>
        <w:t>Клиентское рабочее место — браузер. Для отраслевого прикладного программного обеспечения требование совместимости с двумя доверенными операционными системами применяется с 01.06.2027. Интерфейс веб-клиента не зависит от конкретной операционной системы и открывается в браузерах, доступных на доверенных российских ОС.</w:t>
      </w:r>
      <w:bookmarkEnd w:id="43"/>
    </w:p>
    <w:p>
      <w:pPr>
        <w:pStyle w:val="Heading1"/>
        <w:rPr/>
      </w:pPr>
      <w:bookmarkStart w:id="44" w:name="__RefHeading___Toc4182_1869876486"/>
      <w:bookmarkStart w:id="45" w:name="основные-зависимости-и-лицензии"/>
      <w:bookmarkEnd w:id="44"/>
      <w:r>
        <w:rPr/>
        <w:t>Основные зависимости и лицензии</w:t>
      </w:r>
    </w:p>
    <w:p>
      <w:pPr>
        <w:pStyle w:val="FirstParagraph"/>
        <w:rPr/>
      </w:pPr>
      <w:r>
        <w:rPr/>
        <w:t xml:space="preserve">Ниже — компоненты, входящие в поставку или необходимые для воспроизведения экземпляра. Перечень не является полным деревом транзитивных пакетов. Полные фиксации версий — файлы </w:t>
      </w:r>
      <w:r>
        <w:rPr>
          <w:rStyle w:val="VerbatimChar"/>
        </w:rPr>
        <w:t>api/requirements.txt</w:t>
      </w:r>
      <w:r>
        <w:rPr/>
        <w:t xml:space="preserve"> и </w:t>
      </w:r>
      <w:r>
        <w:rPr>
          <w:rStyle w:val="VerbatimChar"/>
        </w:rPr>
        <w:t>web/package.json</w:t>
      </w:r>
      <w:r>
        <w:rPr/>
        <w:t>.</w:t>
      </w:r>
    </w:p>
    <w:p>
      <w:pPr>
        <w:pStyle w:val="BodyText"/>
        <w:rPr/>
      </w:pPr>
      <w:r>
        <w:rPr/>
        <w:t>Зависимости выбирались с учётом возможности эксплуатации на территории Российской Федерации и отсутствия в исходном тексте программы компонентов с лицензией GNU AGPL.</w:t>
      </w:r>
    </w:p>
    <w:p>
      <w:pPr>
        <w:pStyle w:val="Heading2"/>
        <w:rPr/>
      </w:pPr>
      <w:bookmarkStart w:id="46" w:name="__RefHeading___Toc4184_1869876486"/>
      <w:bookmarkEnd w:id="46"/>
      <w:r>
        <w:rPr/>
        <w:t>Серверная часть</w:t>
      </w:r>
    </w:p>
    <w:tbl>
      <w:tblPr>
        <w:tblStyle w:val="Table"/>
        <w:tblW w:w="5000" w:type="pct"/>
        <w:jc w:val="left"/>
        <w:tblInd w:w="113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020" w:noHBand="0" w:noVBand="0" w:firstColumn="0" w:lastRow="0" w:lastColumn="0" w:firstRow="1"/>
      </w:tblPr>
      <w:tblGrid>
        <w:gridCol w:w="3811"/>
        <w:gridCol w:w="3464"/>
        <w:gridCol w:w="2080"/>
      </w:tblGrid>
      <w:tr>
        <w:trPr>
          <w:tblHeader w:val="true"/>
        </w:trPr>
        <w:tc>
          <w:tcPr>
            <w:tcW w:w="3811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Компонент</w:t>
            </w:r>
          </w:p>
        </w:tc>
        <w:tc>
          <w:tcPr>
            <w:tcW w:w="3464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Лицензия</w:t>
            </w:r>
          </w:p>
        </w:tc>
        <w:tc>
          <w:tcPr>
            <w:tcW w:w="2080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Роль</w:t>
            </w:r>
          </w:p>
        </w:tc>
      </w:tr>
      <w:tr>
        <w:trPr/>
        <w:tc>
          <w:tcPr>
            <w:tcW w:w="3811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Python</w:t>
            </w:r>
          </w:p>
        </w:tc>
        <w:tc>
          <w:tcPr>
            <w:tcW w:w="3464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PSF</w:t>
            </w:r>
          </w:p>
        </w:tc>
        <w:tc>
          <w:tcPr>
            <w:tcW w:w="208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язык</w:t>
            </w:r>
          </w:p>
        </w:tc>
      </w:tr>
      <w:tr>
        <w:trPr/>
        <w:tc>
          <w:tcPr>
            <w:tcW w:w="3811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Django</w:t>
            </w:r>
          </w:p>
        </w:tc>
        <w:tc>
          <w:tcPr>
            <w:tcW w:w="3464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BSD-3-Clause</w:t>
            </w:r>
          </w:p>
        </w:tc>
        <w:tc>
          <w:tcPr>
            <w:tcW w:w="208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каркас</w:t>
            </w:r>
          </w:p>
        </w:tc>
      </w:tr>
      <w:tr>
        <w:trPr/>
        <w:tc>
          <w:tcPr>
            <w:tcW w:w="3811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Django REST Framework</w:t>
            </w:r>
          </w:p>
        </w:tc>
        <w:tc>
          <w:tcPr>
            <w:tcW w:w="3464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BSD</w:t>
            </w:r>
          </w:p>
        </w:tc>
        <w:tc>
          <w:tcPr>
            <w:tcW w:w="208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HTTP API</w:t>
            </w:r>
          </w:p>
        </w:tc>
      </w:tr>
      <w:tr>
        <w:trPr/>
        <w:tc>
          <w:tcPr>
            <w:tcW w:w="3811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psycopg</w:t>
            </w:r>
          </w:p>
        </w:tc>
        <w:tc>
          <w:tcPr>
            <w:tcW w:w="3464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LGPL-3.0</w:t>
            </w:r>
          </w:p>
        </w:tc>
        <w:tc>
          <w:tcPr>
            <w:tcW w:w="208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драйвер PostgreSQL (динамически связываемая библиотека, исходный текст Платформы не видоизменяет)</w:t>
            </w:r>
          </w:p>
        </w:tc>
      </w:tr>
      <w:tr>
        <w:trPr/>
        <w:tc>
          <w:tcPr>
            <w:tcW w:w="3811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Celery</w:t>
            </w:r>
          </w:p>
        </w:tc>
        <w:tc>
          <w:tcPr>
            <w:tcW w:w="3464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BSD</w:t>
            </w:r>
          </w:p>
        </w:tc>
        <w:tc>
          <w:tcPr>
            <w:tcW w:w="208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фоновые задачи</w:t>
            </w:r>
          </w:p>
        </w:tc>
      </w:tr>
      <w:tr>
        <w:trPr/>
        <w:tc>
          <w:tcPr>
            <w:tcW w:w="3811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redis-py</w:t>
            </w:r>
          </w:p>
        </w:tc>
        <w:tc>
          <w:tcPr>
            <w:tcW w:w="3464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MIT</w:t>
            </w:r>
          </w:p>
        </w:tc>
        <w:tc>
          <w:tcPr>
            <w:tcW w:w="208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клиент Redis</w:t>
            </w:r>
          </w:p>
        </w:tc>
      </w:tr>
      <w:tr>
        <w:trPr/>
        <w:tc>
          <w:tcPr>
            <w:tcW w:w="3811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gunicorn</w:t>
            </w:r>
          </w:p>
        </w:tc>
        <w:tc>
          <w:tcPr>
            <w:tcW w:w="3464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MIT</w:t>
            </w:r>
          </w:p>
        </w:tc>
        <w:tc>
          <w:tcPr>
            <w:tcW w:w="208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WSGI-сервер</w:t>
            </w:r>
          </w:p>
        </w:tc>
      </w:tr>
      <w:tr>
        <w:trPr/>
        <w:tc>
          <w:tcPr>
            <w:tcW w:w="3811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django-allauth</w:t>
            </w:r>
          </w:p>
        </w:tc>
        <w:tc>
          <w:tcPr>
            <w:tcW w:w="3464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MIT</w:t>
            </w:r>
          </w:p>
        </w:tc>
        <w:tc>
          <w:tcPr>
            <w:tcW w:w="208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учётные записи и соцвход</w:t>
            </w:r>
          </w:p>
        </w:tc>
      </w:tr>
      <w:tr>
        <w:trPr/>
        <w:tc>
          <w:tcPr>
            <w:tcW w:w="3811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Pillow</w:t>
            </w:r>
          </w:p>
        </w:tc>
        <w:tc>
          <w:tcPr>
            <w:tcW w:w="3464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HPND</w:t>
            </w:r>
          </w:p>
        </w:tc>
        <w:tc>
          <w:tcPr>
            <w:tcW w:w="208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изображения</w:t>
            </w:r>
          </w:p>
        </w:tc>
      </w:tr>
      <w:tr>
        <w:trPr/>
        <w:tc>
          <w:tcPr>
            <w:tcW w:w="3811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openai (клиент)</w:t>
            </w:r>
          </w:p>
        </w:tc>
        <w:tc>
          <w:tcPr>
            <w:tcW w:w="3464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Apache-2.0</w:t>
            </w:r>
          </w:p>
        </w:tc>
        <w:tc>
          <w:tcPr>
            <w:tcW w:w="208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HTTP-клиент к Cognitum, языковую модель не включает</w:t>
            </w:r>
            <w:bookmarkStart w:id="47" w:name="серверная-часть"/>
            <w:bookmarkEnd w:id="47"/>
          </w:p>
        </w:tc>
      </w:tr>
    </w:tbl>
    <w:p>
      <w:pPr>
        <w:pStyle w:val="Heading2"/>
        <w:rPr/>
      </w:pPr>
      <w:bookmarkStart w:id="48" w:name="__RefHeading___Toc4186_1869876486"/>
      <w:bookmarkEnd w:id="48"/>
      <w:r>
        <w:rPr/>
        <w:t>Сайт</w:t>
      </w:r>
    </w:p>
    <w:tbl>
      <w:tblPr>
        <w:tblStyle w:val="Table"/>
        <w:tblW w:w="7920" w:type="dxa"/>
        <w:jc w:val="left"/>
        <w:tblInd w:w="113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020" w:noHBand="0" w:noVBand="0" w:firstColumn="0" w:lastRow="0" w:lastColumn="0" w:firstRow="1"/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tcW w:w="2640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Компонент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Лицензия</w:t>
            </w:r>
          </w:p>
        </w:tc>
        <w:tc>
          <w:tcPr>
            <w:tcW w:w="2640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Роль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Vue</w:t>
            </w:r>
          </w:p>
        </w:tc>
        <w:tc>
          <w:tcPr>
            <w:tcW w:w="264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MIT</w:t>
            </w:r>
          </w:p>
        </w:tc>
        <w:tc>
          <w:tcPr>
            <w:tcW w:w="264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интерфейс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Nuxt</w:t>
            </w:r>
          </w:p>
        </w:tc>
        <w:tc>
          <w:tcPr>
            <w:tcW w:w="264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MIT</w:t>
            </w:r>
          </w:p>
        </w:tc>
        <w:tc>
          <w:tcPr>
            <w:tcW w:w="264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каркас серверного рендеринга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Tailwind CSS</w:t>
            </w:r>
          </w:p>
        </w:tc>
        <w:tc>
          <w:tcPr>
            <w:tcW w:w="264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MIT</w:t>
            </w:r>
          </w:p>
        </w:tc>
        <w:tc>
          <w:tcPr>
            <w:tcW w:w="264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стили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Pinia</w:t>
            </w:r>
          </w:p>
        </w:tc>
        <w:tc>
          <w:tcPr>
            <w:tcW w:w="264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MIT</w:t>
            </w:r>
          </w:p>
        </w:tc>
        <w:tc>
          <w:tcPr>
            <w:tcW w:w="264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состояние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reka-ui</w:t>
            </w:r>
          </w:p>
        </w:tc>
        <w:tc>
          <w:tcPr>
            <w:tcW w:w="264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MIT</w:t>
            </w:r>
          </w:p>
        </w:tc>
        <w:tc>
          <w:tcPr>
            <w:tcW w:w="264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элементы интерфейса</w:t>
            </w:r>
          </w:p>
        </w:tc>
      </w:tr>
      <w:tr>
        <w:trPr/>
        <w:tc>
          <w:tcPr>
            <w:tcW w:w="264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lucide-vue-next</w:t>
            </w:r>
          </w:p>
        </w:tc>
        <w:tc>
          <w:tcPr>
            <w:tcW w:w="264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ISC</w:t>
            </w:r>
          </w:p>
        </w:tc>
        <w:tc>
          <w:tcPr>
            <w:tcW w:w="264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пиктограммы</w:t>
            </w:r>
          </w:p>
        </w:tc>
      </w:tr>
    </w:tbl>
    <w:p>
      <w:pPr>
        <w:pStyle w:val="Heading2"/>
        <w:rPr/>
      </w:pPr>
      <w:bookmarkStart w:id="49" w:name="__RefHeading___Toc4188_1869876486"/>
      <w:bookmarkEnd w:id="49"/>
      <w:r>
        <w:rPr/>
        <w:t>Среда выполнения</w:t>
      </w:r>
    </w:p>
    <w:tbl>
      <w:tblPr>
        <w:tblStyle w:val="Table"/>
        <w:tblW w:w="5000" w:type="pct"/>
        <w:jc w:val="left"/>
        <w:tblInd w:w="113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020" w:noHBand="0" w:noVBand="0" w:firstColumn="0" w:lastRow="0" w:lastColumn="0" w:firstRow="1"/>
      </w:tblPr>
      <w:tblGrid>
        <w:gridCol w:w="3811"/>
        <w:gridCol w:w="3464"/>
        <w:gridCol w:w="2080"/>
      </w:tblGrid>
      <w:tr>
        <w:trPr>
          <w:tblHeader w:val="true"/>
        </w:trPr>
        <w:tc>
          <w:tcPr>
            <w:tcW w:w="3811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Компонент</w:t>
            </w:r>
          </w:p>
        </w:tc>
        <w:tc>
          <w:tcPr>
            <w:tcW w:w="3464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Лицензия</w:t>
            </w:r>
          </w:p>
        </w:tc>
        <w:tc>
          <w:tcPr>
            <w:tcW w:w="2080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Роль</w:t>
            </w:r>
          </w:p>
        </w:tc>
      </w:tr>
      <w:tr>
        <w:trPr/>
        <w:tc>
          <w:tcPr>
            <w:tcW w:w="3811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PostgreSQL / PostGIS</w:t>
            </w:r>
          </w:p>
        </w:tc>
        <w:tc>
          <w:tcPr>
            <w:tcW w:w="3464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PostgreSQL License</w:t>
            </w:r>
          </w:p>
        </w:tc>
        <w:tc>
          <w:tcPr>
            <w:tcW w:w="208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база данных и геоданные</w:t>
            </w:r>
          </w:p>
        </w:tc>
      </w:tr>
      <w:tr>
        <w:trPr/>
        <w:tc>
          <w:tcPr>
            <w:tcW w:w="3811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Redis</w:t>
            </w:r>
          </w:p>
        </w:tc>
        <w:tc>
          <w:tcPr>
            <w:tcW w:w="3464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RSALv2 / SSPL (образ Redis 8)</w:t>
            </w:r>
          </w:p>
        </w:tc>
        <w:tc>
          <w:tcPr>
            <w:tcW w:w="208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кэш и брокер; в поставку исходного текста Платформы не входит, запускается отдельным контейнером</w:t>
            </w:r>
          </w:p>
        </w:tc>
      </w:tr>
      <w:tr>
        <w:trPr/>
        <w:tc>
          <w:tcPr>
            <w:tcW w:w="3811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nginx</w:t>
            </w:r>
          </w:p>
        </w:tc>
        <w:tc>
          <w:tcPr>
            <w:tcW w:w="3464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BSD-2-Clause</w:t>
            </w:r>
          </w:p>
        </w:tc>
        <w:tc>
          <w:tcPr>
            <w:tcW w:w="208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обратный прокси на промышленном контуре</w:t>
            </w:r>
          </w:p>
        </w:tc>
      </w:tr>
      <w:tr>
        <w:trPr/>
        <w:tc>
          <w:tcPr>
            <w:tcW w:w="3811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Docker Engine</w:t>
            </w:r>
          </w:p>
        </w:tc>
        <w:tc>
          <w:tcPr>
            <w:tcW w:w="3464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Apache-2.0</w:t>
            </w:r>
          </w:p>
        </w:tc>
        <w:tc>
          <w:tcPr>
            <w:tcW w:w="2080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контейнеризация</w:t>
            </w:r>
          </w:p>
        </w:tc>
      </w:tr>
    </w:tbl>
    <w:p>
      <w:pPr>
        <w:pStyle w:val="BodyText"/>
        <w:spacing w:before="0" w:after="160"/>
        <w:jc w:val="both"/>
        <w:rPr/>
      </w:pPr>
      <w:bookmarkStart w:id="50" w:name="основные-зависимости-и-лицензии"/>
      <w:r>
        <w:rPr/>
        <w:t>Программа предоставляется по модели удалённого доступа (SaaS). Экземпляр контрагенту не передаётся, за исключением архива исходных текстов для экспертизы реестра. Пользователь получает право пользоваться сайтом и кабинетом в объёме оферты, а не копию объектного кода на своё устройство.</w:t>
      </w:r>
      <w:bookmarkEnd w:id="50"/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417" w:right="1134" w:gutter="0" w:header="720" w:top="1134" w:footer="72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onsolas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  <w:p>
    <w:pPr>
      <w:pStyle w:val="Normal"/>
      <w:spacing w:before="0" w:after="160"/>
      <w:jc w:val="center"/>
      <w:rPr/>
    </w:pPr>
    <w:r>
      <w:rPr>
        <w:rFonts w:eastAsia="Times New Roman"/>
        <w:b w:val="false"/>
        <w:color w:val="5C5A66"/>
        <w:sz w:val="18"/>
      </w:rPr>
      <w:t>ООО «СПОРТГИД»  ·  СпортГид: цифровая платформа детского спорта  ·  версия 1.0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jc w:val="left"/>
      <w:rPr/>
    </w:pPr>
    <w:r>
      <w:rPr/>
      <w:drawing>
        <wp:inline distT="0" distB="0" distL="0" distR="0">
          <wp:extent cx="1619885" cy="392430"/>
          <wp:effectExtent l="0" t="0" r="0" b="0"/>
          <wp:docPr id="2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76"/>
  <w:style w:type="paragraph" w:styleId="Normal" w:default="1">
    <w:name w:val="Normal"/>
    <w:qFormat/>
    <w:pPr>
      <w:widowControl/>
      <w:bidi w:val="0"/>
      <w:spacing w:lineRule="auto" w:line="276" w:before="0" w:after="16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before="320" w:after="160"/>
      <w:outlineLvl w:val="0"/>
    </w:pPr>
    <w:rPr>
      <w:rFonts w:ascii="Times New Roman" w:hAnsi="Times New Roman" w:eastAsia="Times New Roman" w:cs="Times New Roman"/>
      <w:b/>
      <w:color w:val="442A6B"/>
      <w:sz w:val="32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before="320" w:after="160"/>
      <w:outlineLvl w:val="1"/>
    </w:pPr>
    <w:rPr>
      <w:rFonts w:ascii="Times New Roman" w:hAnsi="Times New Roman" w:eastAsia="Times New Roman" w:cs="Times New Roman"/>
      <w:b/>
      <w:color w:val="442A6B"/>
      <w:sz w:val="28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before="320" w:after="160"/>
      <w:outlineLvl w:val="2"/>
    </w:pPr>
    <w:rPr>
      <w:rFonts w:ascii="Times New Roman" w:hAnsi="Times New Roman" w:eastAsia="Times New Roman" w:cs="Times New Roman"/>
      <w:b/>
      <w:color w:val="442A6B"/>
      <w:sz w:val="26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before="80" w:after="40"/>
      <w:outlineLvl w:val="3"/>
    </w:pPr>
    <w:rPr>
      <w:rFonts w:ascii="Times New Roman" w:hAnsi="Times New Roman" w:eastAsia="Times New Roman" w:cs="Times New Roman"/>
      <w:i/>
      <w:iCs/>
      <w:color w:themeColor="accent1" w:themeShade="bf" w:val="0F4761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before="80" w:after="40"/>
      <w:outlineLvl w:val="4"/>
    </w:pPr>
    <w:rPr>
      <w:rFonts w:ascii="Times New Roman" w:hAnsi="Times New Roman" w:eastAsia="Times New Roman" w:cs="Times New Roman"/>
      <w:color w:themeColor="accent1" w:themeShade="bf" w:val="0F4761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before="40" w:after="0"/>
      <w:outlineLvl w:val="5"/>
    </w:pPr>
    <w:rPr>
      <w:rFonts w:ascii="Times New Roman" w:hAnsi="Times New Roman" w:eastAsia="Times New Roman" w:cs="Times New Roman"/>
      <w:i/>
      <w:iCs/>
      <w:color w:themeColor="text1" w:themeTint="a6" w:val="595959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before="40" w:after="0"/>
      <w:outlineLvl w:val="6"/>
    </w:pPr>
    <w:rPr>
      <w:rFonts w:ascii="Times New Roman" w:hAnsi="Times New Roman" w:eastAsia="Times New Roman" w:cs="Times New Roman"/>
      <w:color w:themeColor="text1" w:themeTint="a6" w:val="595959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before="0" w:after="0"/>
      <w:outlineLvl w:val="7"/>
    </w:pPr>
    <w:rPr>
      <w:rFonts w:ascii="Times New Roman" w:hAnsi="Times New Roman" w:eastAsia="Times New Roman" w:cs="Times New Roman"/>
      <w:i/>
      <w:iCs/>
      <w:color w:themeColor="text1" w:themeTint="d8" w:val="272727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before="0" w:after="0"/>
      <w:outlineLvl w:val="8"/>
    </w:pPr>
    <w:rPr>
      <w:rFonts w:ascii="Times New Roman" w:hAnsi="Times New Roman" w:eastAsia="Times New Roman" w:cs="Times New Roman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a10fd9"/>
    <w:rPr>
      <w:rFonts w:ascii="Times New Roman" w:hAnsi="Times New Roman" w:eastAsia="Times New Roman" w:cs="Times New Roman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a10fd9"/>
    <w:rPr>
      <w:rFonts w:ascii="Times New Roman" w:hAnsi="Times New Roman" w:eastAsia="Times New Roman" w:cs="Times New Roman"/>
      <w:color w:themeColor="text1" w:themeTint="a6" w:val="595959"/>
      <w:spacing w:val="15"/>
      <w:sz w:val="28"/>
      <w:szCs w:val="28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a10fd9"/>
    <w:rPr>
      <w:rFonts w:ascii="Times New Roman" w:hAnsi="Times New Roman" w:eastAsia="Times New Roman" w:cs="Times New Roman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a10fd9"/>
    <w:rPr>
      <w:rFonts w:ascii="Times New Roman" w:hAnsi="Times New Roman" w:eastAsia="Times New Roman" w:cs="Times New Roman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a10fd9"/>
    <w:rPr>
      <w:rFonts w:ascii="Times New Roman" w:hAnsi="Times New Roman" w:eastAsia="Times New Roman" w:cs="Times New Roman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a10fd9"/>
    <w:rPr>
      <w:rFonts w:ascii="Times New Roman" w:hAnsi="Times New Roman" w:eastAsia="Times New Roman" w:cs="Times New Roman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a10fd9"/>
    <w:rPr>
      <w:rFonts w:ascii="Times New Roman" w:hAnsi="Times New Roman" w:eastAsia="Times New Roman" w:cs="Times New Roman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a10fd9"/>
    <w:rPr>
      <w:rFonts w:ascii="Times New Roman" w:hAnsi="Times New Roman" w:eastAsia="Times New Roman" w:cs="Times New Roman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a10fd9"/>
    <w:rPr>
      <w:rFonts w:ascii="Times New Roman" w:hAnsi="Times New Roman" w:eastAsia="Times New Roman" w:cs="Times New Roman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a10fd9"/>
    <w:rPr>
      <w:rFonts w:ascii="Times New Roman" w:hAnsi="Times New Roman" w:eastAsia="Times New Roman" w:cs="Times New Roman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a10fd9"/>
    <w:rPr>
      <w:rFonts w:ascii="Times New Roman" w:hAnsi="Times New Roman" w:eastAsia="Times New Roman" w:cs="Times New Roman"/>
      <w:color w:themeColor="text1" w:themeTint="d8" w:val="272727"/>
    </w:rPr>
  </w:style>
  <w:style w:type="character" w:styleId="DefaultParagraphFont" w:default="1">
    <w:name w:val="Default Paragraph Font"/>
    <w:semiHidden/>
    <w:unhideWhenUsed/>
    <w:qFormat/>
    <w:rPr/>
  </w:style>
  <w:style w:type="character" w:styleId="BodyTextChar" w:customStyle="1">
    <w:name w:val="Body Text Char"/>
    <w:basedOn w:val="DefaultParagraphFont"/>
    <w:qFormat/>
    <w:rPr/>
  </w:style>
  <w:style w:type="character" w:styleId="VerbatimChar" w:customStyle="1">
    <w:name w:val="Verbatim Char"/>
    <w:basedOn w:val="BodyTextChar"/>
    <w:qFormat/>
    <w:rPr>
      <w:rFonts w:ascii="Consolas" w:hAnsi="Consolas"/>
      <w:sz w:val="22"/>
    </w:rPr>
  </w:style>
  <w:style w:type="character" w:styleId="SectionNumber" w:customStyle="1">
    <w:name w:val="Section Number"/>
    <w:basedOn w:val="BodyTextChar"/>
    <w:qFormat/>
    <w:rPr/>
  </w:style>
  <w:style w:type="character" w:styleId="FootnoteCharacters">
    <w:name w:val="Footnote Characters"/>
    <w:basedOn w:val="BodyTextChar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BodyTextChar"/>
    <w:rPr>
      <w:color w:themeColor="accent1" w:val="4F81BD"/>
    </w:rPr>
  </w:style>
  <w:style w:type="character" w:styleId="KeywordTok" w:customStyle="1">
    <w:name w:val="KeywordTok"/>
    <w:basedOn w:val="VerbatimChar"/>
    <w:qFormat/>
    <w:rPr>
      <w:b/>
      <w:color w:val="007020"/>
    </w:rPr>
  </w:style>
  <w:style w:type="character" w:styleId="DataTypeTok" w:customStyle="1">
    <w:name w:val="DataTypeTok"/>
    <w:basedOn w:val="VerbatimChar"/>
    <w:qFormat/>
    <w:rPr>
      <w:color w:val="902000"/>
    </w:rPr>
  </w:style>
  <w:style w:type="character" w:styleId="DecValTok" w:customStyle="1">
    <w:name w:val="DecValTok"/>
    <w:basedOn w:val="VerbatimChar"/>
    <w:qFormat/>
    <w:rPr>
      <w:color w:val="40A070"/>
    </w:rPr>
  </w:style>
  <w:style w:type="character" w:styleId="BaseNTok" w:customStyle="1">
    <w:name w:val="BaseNTok"/>
    <w:basedOn w:val="VerbatimChar"/>
    <w:qFormat/>
    <w:rPr>
      <w:color w:val="40A070"/>
    </w:rPr>
  </w:style>
  <w:style w:type="character" w:styleId="FloatTok" w:customStyle="1">
    <w:name w:val="FloatTok"/>
    <w:basedOn w:val="VerbatimChar"/>
    <w:qFormat/>
    <w:rPr>
      <w:color w:val="40A070"/>
    </w:rPr>
  </w:style>
  <w:style w:type="character" w:styleId="ConstantTok" w:customStyle="1">
    <w:name w:val="ConstantTok"/>
    <w:basedOn w:val="VerbatimChar"/>
    <w:qFormat/>
    <w:rPr>
      <w:color w:val="880000"/>
    </w:rPr>
  </w:style>
  <w:style w:type="character" w:styleId="CharTok" w:customStyle="1">
    <w:name w:val="CharTok"/>
    <w:basedOn w:val="VerbatimChar"/>
    <w:qFormat/>
    <w:rPr>
      <w:color w:val="4070A0"/>
    </w:rPr>
  </w:style>
  <w:style w:type="character" w:styleId="SpecialCharTok" w:customStyle="1">
    <w:name w:val="SpecialCharTok"/>
    <w:basedOn w:val="VerbatimChar"/>
    <w:qFormat/>
    <w:rPr>
      <w:color w:val="4070A0"/>
    </w:rPr>
  </w:style>
  <w:style w:type="character" w:styleId="StringTok" w:customStyle="1">
    <w:name w:val="StringTok"/>
    <w:basedOn w:val="VerbatimChar"/>
    <w:qFormat/>
    <w:rPr>
      <w:color w:val="4070A0"/>
    </w:rPr>
  </w:style>
  <w:style w:type="character" w:styleId="VerbatimStringTok" w:customStyle="1">
    <w:name w:val="VerbatimStringTok"/>
    <w:basedOn w:val="VerbatimChar"/>
    <w:qFormat/>
    <w:rPr>
      <w:color w:val="4070A0"/>
    </w:rPr>
  </w:style>
  <w:style w:type="character" w:styleId="SpecialStringTok" w:customStyle="1">
    <w:name w:val="SpecialStringTok"/>
    <w:basedOn w:val="VerbatimChar"/>
    <w:qFormat/>
    <w:rPr>
      <w:color w:val="BB6688"/>
    </w:rPr>
  </w:style>
  <w:style w:type="character" w:styleId="ImportTok" w:customStyle="1">
    <w:name w:val="ImportTok"/>
    <w:basedOn w:val="VerbatimChar"/>
    <w:qFormat/>
    <w:rPr>
      <w:b/>
      <w:color w:val="008000"/>
    </w:rPr>
  </w:style>
  <w:style w:type="character" w:styleId="CommentTok" w:customStyle="1">
    <w:name w:val="CommentTok"/>
    <w:basedOn w:val="VerbatimChar"/>
    <w:qFormat/>
    <w:rPr>
      <w:i/>
      <w:color w:val="60A0B0"/>
    </w:rPr>
  </w:style>
  <w:style w:type="character" w:styleId="DocumentationTok" w:customStyle="1">
    <w:name w:val="DocumentationTok"/>
    <w:basedOn w:val="VerbatimChar"/>
    <w:qFormat/>
    <w:rPr>
      <w:i/>
      <w:color w:val="BA2121"/>
    </w:rPr>
  </w:style>
  <w:style w:type="character" w:styleId="AnnotationTok" w:customStyle="1">
    <w:name w:val="AnnotationTok"/>
    <w:basedOn w:val="VerbatimChar"/>
    <w:qFormat/>
    <w:rPr>
      <w:b/>
      <w:i/>
      <w:color w:val="60A0B0"/>
    </w:rPr>
  </w:style>
  <w:style w:type="character" w:styleId="CommentVarTok" w:customStyle="1">
    <w:name w:val="CommentVarTok"/>
    <w:basedOn w:val="VerbatimChar"/>
    <w:qFormat/>
    <w:rPr>
      <w:b/>
      <w:i/>
      <w:color w:val="60A0B0"/>
    </w:rPr>
  </w:style>
  <w:style w:type="character" w:styleId="OtherTok" w:customStyle="1">
    <w:name w:val="OtherTok"/>
    <w:basedOn w:val="VerbatimChar"/>
    <w:qFormat/>
    <w:rPr>
      <w:color w:val="007020"/>
    </w:rPr>
  </w:style>
  <w:style w:type="character" w:styleId="FunctionTok" w:customStyle="1">
    <w:name w:val="FunctionTok"/>
    <w:basedOn w:val="VerbatimChar"/>
    <w:qFormat/>
    <w:rPr>
      <w:color w:val="06287E"/>
    </w:rPr>
  </w:style>
  <w:style w:type="character" w:styleId="VariableTok" w:customStyle="1">
    <w:name w:val="VariableTok"/>
    <w:basedOn w:val="VerbatimChar"/>
    <w:qFormat/>
    <w:rPr>
      <w:color w:val="19177C"/>
    </w:rPr>
  </w:style>
  <w:style w:type="character" w:styleId="ControlFlowTok" w:customStyle="1">
    <w:name w:val="ControlFlowTok"/>
    <w:basedOn w:val="VerbatimChar"/>
    <w:qFormat/>
    <w:rPr>
      <w:b/>
      <w:color w:val="007020"/>
    </w:rPr>
  </w:style>
  <w:style w:type="character" w:styleId="OperatorTok" w:customStyle="1">
    <w:name w:val="OperatorTok"/>
    <w:basedOn w:val="VerbatimChar"/>
    <w:qFormat/>
    <w:rPr>
      <w:color w:val="666666"/>
    </w:rPr>
  </w:style>
  <w:style w:type="character" w:styleId="BuiltInTok" w:customStyle="1">
    <w:name w:val="BuiltInTok"/>
    <w:basedOn w:val="VerbatimChar"/>
    <w:qFormat/>
    <w:rPr>
      <w:color w:val="008000"/>
    </w:rPr>
  </w:style>
  <w:style w:type="character" w:styleId="ExtensionTok" w:customStyle="1">
    <w:name w:val="ExtensionTok"/>
    <w:basedOn w:val="VerbatimChar"/>
    <w:qFormat/>
    <w:rPr/>
  </w:style>
  <w:style w:type="character" w:styleId="PreprocessorTok" w:customStyle="1">
    <w:name w:val="PreprocessorTok"/>
    <w:basedOn w:val="VerbatimChar"/>
    <w:qFormat/>
    <w:rPr>
      <w:color w:val="BC7A00"/>
    </w:rPr>
  </w:style>
  <w:style w:type="character" w:styleId="AttributeTok" w:customStyle="1">
    <w:name w:val="AttributeTok"/>
    <w:basedOn w:val="VerbatimChar"/>
    <w:qFormat/>
    <w:rPr>
      <w:color w:val="7D9029"/>
    </w:rPr>
  </w:style>
  <w:style w:type="character" w:styleId="RegionMarkerTok" w:customStyle="1">
    <w:name w:val="RegionMarkerTok"/>
    <w:basedOn w:val="VerbatimChar"/>
    <w:qFormat/>
    <w:rPr/>
  </w:style>
  <w:style w:type="character" w:styleId="InformationTok" w:customStyle="1">
    <w:name w:val="InformationTok"/>
    <w:basedOn w:val="VerbatimChar"/>
    <w:qFormat/>
    <w:rPr>
      <w:b/>
      <w:i/>
      <w:color w:val="60A0B0"/>
    </w:rPr>
  </w:style>
  <w:style w:type="character" w:styleId="WarningTok" w:customStyle="1">
    <w:name w:val="WarningTok"/>
    <w:basedOn w:val="VerbatimChar"/>
    <w:qFormat/>
    <w:rPr>
      <w:b/>
      <w:i/>
      <w:color w:val="60A0B0"/>
    </w:rPr>
  </w:style>
  <w:style w:type="character" w:styleId="AlertTok" w:customStyle="1">
    <w:name w:val="AlertTok"/>
    <w:basedOn w:val="VerbatimChar"/>
    <w:qFormat/>
    <w:rPr>
      <w:b/>
      <w:color w:val="FF0000"/>
    </w:rPr>
  </w:style>
  <w:style w:type="character" w:styleId="ErrorTok" w:customStyle="1">
    <w:name w:val="ErrorTok"/>
    <w:basedOn w:val="VerbatimChar"/>
    <w:qFormat/>
    <w:rPr>
      <w:b/>
      <w:color w:val="FF0000"/>
    </w:rPr>
  </w:style>
  <w:style w:type="character" w:styleId="NormalTok" w:customStyle="1">
    <w:name w:val="NormalTok"/>
    <w:basedOn w:val="VerbatimChar"/>
    <w:qFormat/>
    <w:rPr/>
  </w:style>
  <w:style w:type="character" w:styleId="IndexLink">
    <w:name w:val="Index Link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link w:val="BodyTextChar"/>
    <w:qFormat/>
    <w:pPr>
      <w:spacing w:before="0" w:after="160"/>
      <w:jc w:val="both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link w:val="BodyTextChar"/>
    <w:qFormat/>
    <w:pPr>
      <w:spacing w:before="0" w:after="120"/>
    </w:pPr>
    <w:rPr>
      <w:i/>
    </w:rPr>
  </w:style>
  <w:style w:type="paragraph" w:styleId="Index">
    <w:name w:val="Index"/>
    <w:basedOn w:val="Normal"/>
    <w:qFormat/>
    <w:pPr>
      <w:suppressLineNumbers/>
    </w:pPr>
    <w:rPr/>
  </w:style>
  <w:style w:type="paragraph" w:styleId="FirstParagraph" w:customStyle="1">
    <w:name w:val="First Paragraph"/>
    <w:basedOn w:val="BodyText"/>
    <w:next w:val="BodyText"/>
    <w:qFormat/>
    <w:pPr>
      <w:spacing w:before="0" w:after="160"/>
      <w:jc w:val="both"/>
    </w:pPr>
    <w:rPr/>
  </w:style>
  <w:style w:type="paragraph" w:styleId="Compact" w:customStyle="1">
    <w:name w:val="Compact"/>
    <w:basedOn w:val="BodyText"/>
    <w:qFormat/>
    <w:pPr>
      <w:spacing w:lineRule="auto" w:line="240" w:before="40" w:after="40"/>
      <w:jc w:val="left"/>
    </w:pPr>
    <w:rPr/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lineRule="auto" w:line="240" w:before="0" w:after="240"/>
      <w:contextualSpacing/>
      <w:jc w:val="center"/>
    </w:pPr>
    <w:rPr>
      <w:rFonts w:ascii="Times New Roman" w:hAnsi="Times New Roman" w:eastAsia="Times New Roman" w:cs="Times New Roman"/>
      <w:b/>
      <w:color w:val="442A6B"/>
      <w:sz w:val="44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/>
    <w:rPr>
      <w:rFonts w:ascii="Times New Roman" w:hAnsi="Times New Roman" w:eastAsia="Times New Roman" w:cs="Times New Roman"/>
      <w:spacing w:val="15"/>
      <w:sz w:val="28"/>
      <w:szCs w:val="28"/>
    </w:rPr>
  </w:style>
  <w:style w:type="paragraph" w:styleId="Author" w:customStyle="1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AbstractTitle" w:customStyle="1">
    <w:name w:val="Abstract Title"/>
    <w:basedOn w:val="Normal"/>
    <w:next w:val="Abstract"/>
    <w:qFormat/>
    <w:pPr>
      <w:keepNext w:val="true"/>
      <w:keepLines/>
      <w:spacing w:before="300" w:after="0"/>
      <w:jc w:val="center"/>
    </w:pPr>
    <w:rPr>
      <w:b/>
      <w:sz w:val="20"/>
      <w:szCs w:val="20"/>
    </w:rPr>
  </w:style>
  <w:style w:type="paragraph" w:styleId="Abstract" w:customStyle="1">
    <w:name w:val="Abstract"/>
    <w:basedOn w:val="Normal"/>
    <w:next w:val="BodyText"/>
    <w:qFormat/>
    <w:pPr>
      <w:keepNext w:val="true"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  <w:pPr/>
    <w:rPr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hanging="0" w:left="480" w:right="480"/>
    </w:pPr>
    <w:rPr/>
  </w:style>
  <w:style w:type="paragraph" w:styleId="FootnoteText">
    <w:name w:val="footnote text"/>
    <w:basedOn w:val="Normal"/>
    <w:uiPriority w:val="9"/>
    <w:unhideWhenUsed/>
    <w:qFormat/>
    <w:pPr/>
    <w:rPr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hanging="0" w:left="480" w:right="480"/>
    </w:pPr>
    <w:rPr/>
  </w:style>
  <w:style w:type="paragraph" w:styleId="DefinitionTerm" w:customStyle="1">
    <w:name w:val="Definition Term"/>
    <w:basedOn w:val="Normal"/>
    <w:next w:val="Definition"/>
    <w:qFormat/>
    <w:pPr>
      <w:keepNext w:val="true"/>
      <w:keepLines/>
      <w:spacing w:before="0" w:after="0"/>
    </w:pPr>
    <w:rPr>
      <w:b/>
    </w:rPr>
  </w:style>
  <w:style w:type="paragraph" w:styleId="Definition" w:customStyle="1">
    <w:name w:val="Definition"/>
    <w:basedOn w:val="Normal"/>
    <w:qFormat/>
    <w:pPr/>
    <w:rPr/>
  </w:style>
  <w:style w:type="paragraph" w:styleId="TableCaption" w:customStyle="1">
    <w:name w:val="Table Caption"/>
    <w:basedOn w:val="Caption"/>
    <w:qFormat/>
    <w:pPr>
      <w:keepNext w:val="true"/>
    </w:pPr>
    <w:rPr/>
  </w:style>
  <w:style w:type="paragraph" w:styleId="ImageCaption" w:customStyle="1">
    <w:name w:val="Image Caption"/>
    <w:basedOn w:val="Caption"/>
    <w:qFormat/>
    <w:pPr/>
    <w:rPr/>
  </w:style>
  <w:style w:type="paragraph" w:styleId="Figure" w:customStyle="1">
    <w:name w:val="Figure"/>
    <w:basedOn w:val="Normal"/>
    <w:qFormat/>
    <w:pPr/>
    <w:rPr/>
  </w:style>
  <w:style w:type="paragraph" w:styleId="CaptionedFigure" w:customStyle="1">
    <w:name w:val="Captioned Figure"/>
    <w:basedOn w:val="Figure"/>
    <w:qFormat/>
    <w:pPr>
      <w:keepNext w:val="true"/>
    </w:pPr>
    <w:rPr/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BodyText"/>
    <w:uiPriority w:val="39"/>
    <w:unhideWhenUsed/>
    <w:qFormat/>
    <w:pPr>
      <w:spacing w:lineRule="auto" w:line="259" w:before="240" w:after="240"/>
      <w:jc w:val="center"/>
      <w:outlineLvl w:val="9"/>
    </w:pPr>
    <w:rPr>
      <w:rFonts w:ascii="Times New Roman" w:hAnsi="Times New Roman" w:eastAsia="Times New Roman" w:cs="Times New Roman"/>
      <w:b/>
      <w:bCs w:val="false"/>
      <w:color w:val="442A6B"/>
      <w:sz w:val="32"/>
    </w:rPr>
  </w:style>
  <w:style w:type="paragraph" w:styleId="SourceCode" w:customStyle="1">
    <w:name w:val="Source Code"/>
    <w:basedOn w:val="Normal"/>
    <w:link w:val="VerbatimChar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paragraph" w:styleId="TOC1">
    <w:name w:val="toc 1"/>
    <w:basedOn w:val="Index"/>
    <w:pPr>
      <w:tabs>
        <w:tab w:val="clear" w:pos="720"/>
        <w:tab w:val="right" w:pos="9355" w:leader="dot"/>
      </w:tabs>
      <w:ind w:hanging="0" w:left="0"/>
    </w:pPr>
    <w:rPr/>
  </w:style>
  <w:style w:type="paragraph" w:styleId="TOC2">
    <w:name w:val="toc 2"/>
    <w:basedOn w:val="Index"/>
    <w:pPr>
      <w:tabs>
        <w:tab w:val="clear" w:pos="720"/>
        <w:tab w:val="right" w:pos="9072" w:leader="dot"/>
      </w:tabs>
      <w:ind w:hanging="0" w:left="283"/>
    </w:pPr>
    <w:rPr/>
  </w:style>
  <w:style w:type="table" w:default="1" w:styleId="Table">
    <w:name w:val="Table"/>
    <w:basedOn w:val="TableNormal"/>
    <w:semiHidden/>
    <w:unhideWhenUsed/>
    <w:qFormat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  <w:tblCellMar>
        <w:top w:w="40" w:type="dxa"/>
        <w:left w:w="108" w:type="dxa"/>
        <w:bottom w:w="40" w:type="dxa"/>
        <w:right w:w="108" w:type="dxa"/>
      </w:tblCellMar>
    </w:tblPr>
    <w:tblStylePr w:type="firstRow">
      <w:rPr>
        <w:b/>
      </w:rPr>
      <w:tblPr/>
      <w:tcPr>
        <w:tcBorders>
          <w:bottom w:val="single"/>
        </w:tcBorders>
        <w:shd w:val="clear" w:color="auto" w:fill="EFEBF5"/>
        <w:vAlign w:val="bottom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LibreOffice/25.2.3.2$Linux_AARCH64 LibreOffice_project/520$Build-2</Application>
  <AppVersion>15.0000</AppVersion>
  <Pages>1</Pages>
  <Words>83</Words>
  <Characters>475</Characters>
  <CharactersWithSpaces>583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2026-09-22T21:13:24Z</dcterms:created>
  <dc:creator>ООО «СПОРТГИД»</dc:creator>
  <dc:description/>
  <dc:language>ru-RU</dc:language>
  <cp:lastModifiedBy/>
  <dcterms:modified xsi:type="dcterms:W3CDTF">2026-09-22T21:13:27Z</dcterms:modified>
  <cp:revision>1</cp:revision>
  <dc:subject>СпортГид: цифровая платформа детского спорта, версия 1.0</dc:subject>
  <dc:title>Описание технических средств. СпортГид: цифровая платформа детского спорта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