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567" w:after="0"/>
        <w:jc w:val="center"/>
        <w:rPr/>
      </w:pPr>
      <w:r>
        <w:rPr/>
        <w:drawing>
          <wp:inline distT="0" distB="0" distL="0" distR="0">
            <wp:extent cx="2520315" cy="610870"/>
            <wp:effectExtent l="0" t="0" r="0" b="0"/>
            <wp:docPr id="1" name="Picture 4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567" w:after="0"/>
        <w:jc w:val="center"/>
        <w:rPr/>
      </w:pPr>
      <w:r>
        <w:rPr>
          <w:rFonts w:eastAsia="Times New Roman"/>
          <w:b w:val="false"/>
          <w:color w:val="5C5A66"/>
          <w:sz w:val="24"/>
        </w:rPr>
        <w:t>ООО «СПОРТГИД»</w:t>
      </w:r>
    </w:p>
    <w:p>
      <w:pPr>
        <w:pStyle w:val="Normal"/>
        <w:spacing w:before="3402" w:after="0"/>
        <w:jc w:val="center"/>
        <w:rPr/>
      </w:pPr>
      <w:r>
        <w:rPr>
          <w:rFonts w:eastAsia="Times New Roman"/>
          <w:b/>
          <w:color w:val="442A6B"/>
          <w:sz w:val="44"/>
        </w:rPr>
        <w:t>РУКОВОДСТВО ПОЛЬЗОВАТЕЛЯ</w:t>
      </w:r>
    </w:p>
    <w:p>
      <w:pPr>
        <w:pStyle w:val="Normal"/>
        <w:spacing w:before="454" w:after="0"/>
        <w:jc w:val="center"/>
        <w:rPr/>
      </w:pPr>
      <w:r>
        <w:rPr>
          <w:rFonts w:eastAsia="Times New Roman"/>
          <w:b w:val="false"/>
          <w:sz w:val="30"/>
        </w:rPr>
        <w:t>программы для ЭВМ «СпортГид: цифровая платформа детского спорта»</w:t>
      </w:r>
    </w:p>
    <w:p>
      <w:pPr>
        <w:pStyle w:val="Normal"/>
        <w:spacing w:before="340" w:after="0"/>
        <w:jc w:val="center"/>
        <w:rPr/>
      </w:pPr>
      <w:r>
        <w:rPr>
          <w:rFonts w:eastAsia="Times New Roman"/>
          <w:b w:val="false"/>
          <w:color w:val="5C5A66"/>
          <w:sz w:val="26"/>
        </w:rPr>
        <w:t>Версия 1.0</w:t>
      </w:r>
    </w:p>
    <w:p>
      <w:pPr>
        <w:pStyle w:val="Normal"/>
        <w:spacing w:before="5102" w:after="0"/>
        <w:jc w:val="center"/>
        <w:rPr/>
      </w:pPr>
      <w:r>
        <w:rPr>
          <w:rFonts w:eastAsia="Times New Roman"/>
          <w:b w:val="false"/>
          <w:color w:val="5C5A66"/>
          <w:sz w:val="24"/>
        </w:rPr>
        <w:t>Москва, 2026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Оглавление</w:t>
          </w:r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r>
            <w:fldChar w:fldCharType="begin"/>
          </w:r>
          <w:r>
            <w:rPr>
              <w:webHidden/>
              <w:rStyle w:val="IndexLink"/>
            </w:rPr>
            <w:instrText xml:space="preserve"> TOC \z \o "1-2" \u \h</w:instrText>
          </w:r>
          <w:r>
            <w:rPr>
              <w:webHidden/>
              <w:rStyle w:val="IndexLink"/>
            </w:rPr>
            <w:fldChar w:fldCharType="separate"/>
          </w:r>
          <w:hyperlink w:anchor="__RefHeading___Toc966_1869876486">
            <w:r>
              <w:rPr>
                <w:webHidden/>
                <w:rStyle w:val="IndexLink"/>
              </w:rPr>
              <w:t>Реквизиты программного обеспечения</w:t>
              <w:tab/>
              <w:t>4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968_1869876486">
            <w:r>
              <w:rPr>
                <w:webHidden/>
                <w:rStyle w:val="IndexLink"/>
              </w:rPr>
              <w:t>Введение</w:t>
              <w:tab/>
              <w:t>5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970_1869876486">
            <w:r>
              <w:rPr>
                <w:webHidden/>
                <w:rStyle w:val="IndexLink"/>
              </w:rPr>
              <w:t>Назначение документа</w:t>
              <w:tab/>
              <w:t>5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972_1869876486">
            <w:r>
              <w:rPr>
                <w:webHidden/>
                <w:rStyle w:val="IndexLink"/>
              </w:rPr>
              <w:t>Целевая аудитория</w:t>
              <w:tab/>
              <w:t>5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974_1869876486">
            <w:r>
              <w:rPr>
                <w:webHidden/>
                <w:rStyle w:val="IndexLink"/>
              </w:rPr>
              <w:t>Область применения</w:t>
              <w:tab/>
              <w:t>5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976_1869876486">
            <w:r>
              <w:rPr>
                <w:webHidden/>
                <w:rStyle w:val="IndexLink"/>
              </w:rPr>
              <w:t>Архитектура с точки зрения пользователя</w:t>
              <w:tab/>
              <w:t>5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978_1869876486">
            <w:r>
              <w:rPr>
                <w:webHidden/>
                <w:rStyle w:val="IndexLink"/>
              </w:rPr>
              <w:t>Работа гостя</w:t>
              <w:tab/>
              <w:t>6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980_1869876486">
            <w:r>
              <w:rPr>
                <w:webHidden/>
                <w:rStyle w:val="IndexLink"/>
              </w:rPr>
              <w:t>Главная страница</w:t>
              <w:tab/>
              <w:t>6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982_1869876486">
            <w:r>
              <w:rPr>
                <w:webHidden/>
                <w:rStyle w:val="IndexLink"/>
              </w:rPr>
              <w:t>Каталог</w:t>
              <w:tab/>
              <w:t>7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984_1869876486">
            <w:r>
              <w:rPr>
                <w:webHidden/>
                <w:rStyle w:val="IndexLink"/>
              </w:rPr>
              <w:t>Карточка провайдера</w:t>
              <w:tab/>
              <w:t>8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986_1869876486">
            <w:r>
              <w:rPr>
                <w:webHidden/>
                <w:rStyle w:val="IndexLink"/>
              </w:rPr>
              <w:t>Афиша событий</w:t>
              <w:tab/>
              <w:t>9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988_1869876486">
            <w:r>
              <w:rPr>
                <w:webHidden/>
                <w:rStyle w:val="IndexLink"/>
              </w:rPr>
              <w:t>ИИ-советник</w:t>
              <w:tab/>
              <w:t>10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990_1869876486">
            <w:r>
              <w:rPr>
                <w:webHidden/>
                <w:rStyle w:val="IndexLink"/>
              </w:rPr>
              <w:t>Регистрация и вход</w:t>
              <w:tab/>
              <w:t>11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992_1869876486">
            <w:r>
              <w:rPr>
                <w:webHidden/>
                <w:rStyle w:val="IndexLink"/>
              </w:rPr>
              <w:t>Работа родителя</w:t>
              <w:tab/>
              <w:t>11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994_1869876486">
            <w:r>
              <w:rPr>
                <w:webHidden/>
                <w:rStyle w:val="IndexLink"/>
              </w:rPr>
              <w:t>Вход в кабинет</w:t>
              <w:tab/>
              <w:t>12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996_1869876486">
            <w:r>
              <w:rPr>
                <w:webHidden/>
                <w:rStyle w:val="IndexLink"/>
              </w:rPr>
              <w:t>Карточки детей</w:t>
              <w:tab/>
              <w:t>12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998_1869876486">
            <w:r>
              <w:rPr>
                <w:webHidden/>
                <w:rStyle w:val="IndexLink"/>
              </w:rPr>
              <w:t>Заявки и избранное</w:t>
              <w:tab/>
              <w:t>12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1000_1869876486">
            <w:r>
              <w:rPr>
                <w:webHidden/>
                <w:rStyle w:val="IndexLink"/>
              </w:rPr>
              <w:t>Расписание</w:t>
              <w:tab/>
              <w:t>12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1002_1869876486">
            <w:r>
              <w:rPr>
                <w:webHidden/>
                <w:rStyle w:val="IndexLink"/>
              </w:rPr>
              <w:t>Выход</w:t>
              <w:tab/>
              <w:t>13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1004_1869876486">
            <w:r>
              <w:rPr>
                <w:webHidden/>
                <w:rStyle w:val="IndexLink"/>
              </w:rPr>
              <w:t>Работа партнёра</w:t>
              <w:tab/>
              <w:t>13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1006_1869876486">
            <w:r>
              <w:rPr>
                <w:webHidden/>
                <w:rStyle w:val="IndexLink"/>
              </w:rPr>
              <w:t>Заявка на размещение</w:t>
              <w:tab/>
              <w:t>13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1008_1869876486">
            <w:r>
              <w:rPr>
                <w:webHidden/>
                <w:rStyle w:val="IndexLink"/>
              </w:rPr>
              <w:t>Кабинет организации</w:t>
              <w:tab/>
              <w:t>13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1010_1869876486">
            <w:r>
              <w:rPr>
                <w:webHidden/>
                <w:rStyle w:val="IndexLink"/>
              </w:rPr>
              <w:t>Входящие заявки</w:t>
              <w:tab/>
              <w:t>13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1012_1869876486">
            <w:r>
              <w:rPr>
                <w:webHidden/>
                <w:rStyle w:val="IndexLink"/>
              </w:rPr>
              <w:t>Тариф</w:t>
              <w:tab/>
              <w:t>14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1014_1869876486">
            <w:r>
              <w:rPr>
                <w:webHidden/>
                <w:rStyle w:val="IndexLink"/>
              </w:rPr>
              <w:t>Отзывы</w:t>
              <w:tab/>
              <w:t>14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1016_1869876486">
            <w:r>
              <w:rPr>
                <w:webHidden/>
                <w:rStyle w:val="IndexLink"/>
              </w:rPr>
              <w:t>Работа модератора</w:t>
              <w:tab/>
              <w:t>14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1018_1869876486">
            <w:r>
              <w:rPr>
                <w:webHidden/>
                <w:rStyle w:val="IndexLink"/>
              </w:rPr>
              <w:t>Вход в бэкофис</w:t>
              <w:tab/>
              <w:t>14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1020_1869876486">
            <w:r>
              <w:rPr>
                <w:webHidden/>
                <w:rStyle w:val="IndexLink"/>
              </w:rPr>
              <w:t>Очередь модерации</w:t>
              <w:tab/>
              <w:t>14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1022_1869876486">
            <w:r>
              <w:rPr>
                <w:webHidden/>
                <w:rStyle w:val="IndexLink"/>
              </w:rPr>
              <w:t>Заявки партнёров и обращения родителей</w:t>
              <w:tab/>
              <w:t>15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1024_1869876486">
            <w:r>
              <w:rPr>
                <w:webHidden/>
                <w:rStyle w:val="IndexLink"/>
              </w:rPr>
              <w:t>Справочники</w:t>
              <w:tab/>
              <w:t>15</w:t>
            </w:r>
          </w:hyperlink>
        </w:p>
        <w:p>
          <w:pPr>
            <w:pStyle w:val="TOC1"/>
            <w:tabs>
              <w:tab w:val="clear" w:pos="9355"/>
              <w:tab w:val="right" w:pos="9354" w:leader="dot"/>
            </w:tabs>
            <w:rPr/>
          </w:pPr>
          <w:hyperlink w:anchor="__RefHeading___Toc1026_1869876486">
            <w:r>
              <w:rPr>
                <w:webHidden/>
                <w:rStyle w:val="IndexLink"/>
              </w:rPr>
              <w:t>Персональные данные</w:t>
              <w:tab/>
              <w:t>15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1028_1869876486">
            <w:r>
              <w:rPr>
                <w:webHidden/>
                <w:rStyle w:val="IndexLink"/>
              </w:rPr>
              <w:t>Что собирается</w:t>
              <w:tab/>
              <w:t>15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1030_1869876486">
            <w:r>
              <w:rPr>
                <w:webHidden/>
                <w:rStyle w:val="IndexLink"/>
              </w:rPr>
              <w:t>Где хранятся</w:t>
              <w:tab/>
              <w:t>15</w:t>
            </w:r>
          </w:hyperlink>
        </w:p>
        <w:p>
          <w:pPr>
            <w:pStyle w:val="TOC2"/>
            <w:tabs>
              <w:tab w:val="clear" w:pos="9072"/>
              <w:tab w:val="right" w:pos="9354" w:leader="dot"/>
            </w:tabs>
            <w:rPr/>
          </w:pPr>
          <w:hyperlink w:anchor="__RefHeading___Toc1032_1869876486">
            <w:r>
              <w:rPr>
                <w:webHidden/>
                <w:rStyle w:val="IndexLink"/>
              </w:rPr>
              <w:t>Права субъекта</w:t>
              <w:tab/>
              <w:t>15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pStyle w:val="Heading1"/>
        <w:rPr/>
      </w:pPr>
      <w:r>
        <w:br w:type="page"/>
      </w:r>
      <w:bookmarkStart w:id="0" w:name="__RefHeading___Toc966_1869876486"/>
      <w:bookmarkEnd w:id="0"/>
      <w:r>
        <w:rPr/>
        <w:t>Реквизиты программного обеспечения</w:t>
      </w:r>
    </w:p>
    <w:p>
      <w:pPr>
        <w:pStyle w:val="FirstParagraph"/>
        <w:rPr/>
      </w:pPr>
      <w:r>
        <w:rPr/>
        <w:t xml:space="preserve">Настоящий документ входит в комплект документации программы для ЭВМ </w:t>
      </w:r>
      <w:r>
        <w:rPr>
          <w:b/>
          <w:bCs/>
        </w:rPr>
        <w:t>«СпортГид: цифровая платформа детского спорта»</w:t>
      </w:r>
      <w:r>
        <w:rPr/>
        <w:t xml:space="preserve"> версии 1.0. Во всех документах комплекта используется одно и то же наименование, чтобы сведения заявления, описания и экземпляра программы совпадали.</w:t>
      </w:r>
    </w:p>
    <w:tbl>
      <w:tblPr>
        <w:tblStyle w:val="Table"/>
        <w:tblW w:w="5000" w:type="pct"/>
        <w:jc w:val="left"/>
        <w:tblInd w:w="113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020" w:noHBand="0" w:noVBand="0" w:firstColumn="0" w:lastRow="0" w:lastColumn="0" w:firstRow="1"/>
      </w:tblPr>
      <w:tblGrid>
        <w:gridCol w:w="4677"/>
        <w:gridCol w:w="4677"/>
      </w:tblGrid>
      <w:tr>
        <w:trPr>
          <w:tblHeader w:val="true"/>
        </w:trPr>
        <w:tc>
          <w:tcPr>
            <w:tcW w:w="467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Реквизит</w:t>
            </w:r>
          </w:p>
        </w:tc>
        <w:tc>
          <w:tcPr>
            <w:tcW w:w="4677" w:type="dxa"/>
            <w:tcBorders>
              <w:bottom w:val="single" w:sz="6" w:space="0" w:color="000000"/>
            </w:tcBorders>
            <w:shd w:color="auto" w:fill="EFEBF5" w:val="clear"/>
            <w:vAlign w:val="bottom"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b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Значение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Наименование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СпортГид: цифровая платформа детского спорта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Краткое наименование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СпортГид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Альтернативные наименования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СПОРТГИД; Sportguide; цифровая платформа «СПОРТГИД»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Версия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1.0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Правообладатель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ООО «СПОРТГИД»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ИНН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9704274501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КПП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770401001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ОГРН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1267700237991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Адрес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119435, Россия, г. Москва, муниципальный округ Хамовники, ул. Малая Пироговская, д. 12, помещ. 49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Класс ПО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12.18 — программное обеспечение для решения отраслевых задач в области культуры, спорта, организации досуга и развлечений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ОКПД2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62.01, 63.11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Интерфейс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русский язык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Модель поставки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предоставление удалённого доступа через сеть Интернет (SaaS)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Сайт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https://sportguide.ru/, зеркало https://sportgid.ru/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Документация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https://sportguide.ru/documentation</w:t>
            </w:r>
          </w:p>
        </w:tc>
      </w:tr>
      <w:tr>
        <w:trPr/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Контакт</w:t>
            </w:r>
          </w:p>
        </w:tc>
        <w:tc>
          <w:tcPr>
            <w:tcW w:w="4677" w:type="dxa"/>
            <w:tcBorders/>
          </w:tcPr>
          <w:p>
            <w:pPr>
              <w:pStyle w:val="Compact"/>
              <w:widowControl/>
              <w:spacing w:before="40" w:after="40"/>
              <w:rPr>
                <w:rFonts w:ascii="Times New Roman" w:hAnsi="Times New Roman" w:eastAsia="Times New Roman" w:cs="Times New Roman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hello@sportguide.ru</w:t>
            </w:r>
            <w:bookmarkStart w:id="1" w:name="реквизиты-программного-обеспечения"/>
            <w:bookmarkEnd w:id="1"/>
          </w:p>
        </w:tc>
      </w:tr>
    </w:tbl>
    <w:p>
      <w:pPr>
        <w:pStyle w:val="Heading1"/>
        <w:rPr/>
      </w:pPr>
      <w:bookmarkStart w:id="2" w:name="__RefHeading___Toc968_1869876486"/>
      <w:bookmarkEnd w:id="2"/>
      <w:r>
        <w:rPr/>
        <w:t>Введение</w:t>
      </w:r>
    </w:p>
    <w:p>
      <w:pPr>
        <w:pStyle w:val="Heading2"/>
        <w:rPr/>
      </w:pPr>
      <w:bookmarkStart w:id="3" w:name="__RefHeading___Toc970_1869876486"/>
      <w:bookmarkStart w:id="4" w:name="назначение-документа"/>
      <w:bookmarkEnd w:id="3"/>
      <w:r>
        <w:rPr/>
        <w:t>Назначение документа</w:t>
      </w:r>
    </w:p>
    <w:p>
      <w:pPr>
        <w:pStyle w:val="FirstParagraph"/>
        <w:rPr/>
      </w:pPr>
      <w:r>
        <w:rPr/>
        <w:t xml:space="preserve">Настоящее руководство описывает работу пользователей с программой </w:t>
      </w:r>
      <w:r>
        <w:rPr>
          <w:b/>
          <w:bCs/>
        </w:rPr>
        <w:t>«СпортГид: цифровая платформа детского спорта»</w:t>
      </w:r>
      <w:r>
        <w:rPr/>
        <w:t xml:space="preserve"> версии 1.0 (далее — Платформа, СпортГид). Документ рассчитан на тех, кто пользуется публичным сайтом, личными кабинетами или бэкофисом, а также на эксперта, проверяющего экземпляр программного обеспечения.</w:t>
      </w:r>
    </w:p>
    <w:p>
      <w:pPr>
        <w:pStyle w:val="BodyText"/>
        <w:rPr/>
      </w:pPr>
      <w:bookmarkStart w:id="5" w:name="назначение-документа"/>
      <w:r>
        <w:rPr/>
        <w:t>Руководство отвечает на практические вопросы: как найти секцию, как оставить заявку, что появляется после регистрации, как партнёр ведёт карточку организации и как модератор выпускает материалы на сайт.</w:t>
      </w:r>
      <w:bookmarkEnd w:id="5"/>
    </w:p>
    <w:p>
      <w:pPr>
        <w:pStyle w:val="Heading2"/>
        <w:rPr/>
      </w:pPr>
      <w:bookmarkStart w:id="6" w:name="__RefHeading___Toc972_1869876486"/>
      <w:bookmarkStart w:id="7" w:name="целевая-аудитория"/>
      <w:bookmarkEnd w:id="6"/>
      <w:r>
        <w:rPr/>
        <w:t>Целевая аудитория</w:t>
      </w:r>
    </w:p>
    <w:p>
      <w:pPr>
        <w:pStyle w:val="FirstParagraph"/>
        <w:rPr/>
      </w:pPr>
      <w:r>
        <w:rPr>
          <w:b/>
          <w:bCs/>
        </w:rPr>
        <w:t>Гость</w:t>
      </w:r>
      <w:r>
        <w:rPr/>
        <w:t xml:space="preserve"> открывает сайт без учётной записи. Ему доступны каталог, карточки провайдеров, афиша, ИИ-советник и форма заявки на пробное занятие.</w:t>
      </w:r>
    </w:p>
    <w:p>
      <w:pPr>
        <w:pStyle w:val="BodyText"/>
        <w:rPr/>
      </w:pPr>
      <w:r>
        <w:rPr>
          <w:b/>
          <w:bCs/>
        </w:rPr>
        <w:t>Родитель</w:t>
      </w:r>
      <w:r>
        <w:rPr/>
        <w:t xml:space="preserve"> — зарегистрированный пользователь. Он пользуется всем, что доступно гостю, и дополнительно ведёт кабинет: карточки детей, заявки, избранное, связанное расписание.</w:t>
      </w:r>
    </w:p>
    <w:p>
      <w:pPr>
        <w:pStyle w:val="BodyText"/>
        <w:rPr/>
      </w:pPr>
      <w:r>
        <w:rPr>
          <w:b/>
          <w:bCs/>
        </w:rPr>
        <w:t>Партнёр</w:t>
      </w:r>
      <w:r>
        <w:rPr/>
        <w:t xml:space="preserve"> представляет клуб, школу, тренера, врача, организатора или площадку. После одобрения заявки он работает в кабинете организации: правит карточку, смотрит входящие обращения, пользуется тарифом.</w:t>
      </w:r>
    </w:p>
    <w:p>
      <w:pPr>
        <w:pStyle w:val="BodyText"/>
        <w:rPr/>
      </w:pPr>
      <w:r>
        <w:rPr>
          <w:b/>
          <w:bCs/>
        </w:rPr>
        <w:t>Модератор</w:t>
      </w:r>
      <w:r>
        <w:rPr/>
        <w:t xml:space="preserve"> — сотрудник правообладателя. Он проверяет карточки, отзывы, события и заявки партнёров и переводит записи в статус «опубликовано».</w:t>
      </w:r>
      <w:bookmarkEnd w:id="7"/>
    </w:p>
    <w:p>
      <w:pPr>
        <w:pStyle w:val="Heading2"/>
        <w:rPr/>
      </w:pPr>
      <w:bookmarkStart w:id="8" w:name="__RefHeading___Toc974_1869876486"/>
      <w:bookmarkStart w:id="9" w:name="область-применения"/>
      <w:bookmarkEnd w:id="8"/>
      <w:r>
        <w:rPr/>
        <w:t>Область применения</w:t>
      </w:r>
    </w:p>
    <w:p>
      <w:pPr>
        <w:pStyle w:val="FirstParagraph"/>
        <w:rPr/>
      </w:pPr>
      <w:r>
        <w:rPr/>
        <w:t>Руководство относится к версии 1.0, доступной по адресам https://sportguide.ru/ и https://sportgid.ru/. Интерфейс выполнен на русском языке. Отдельной установки на рабочее место пользователя не требуется: достаточно браузера с доступом в сеть Интернет.</w:t>
      </w:r>
    </w:p>
    <w:p>
      <w:pPr>
        <w:pStyle w:val="BodyText"/>
        <w:rPr/>
      </w:pPr>
      <w:r>
        <w:rPr/>
        <w:t>Связанные документы комплекта:</w:t>
      </w:r>
    </w:p>
    <w:p>
      <w:pPr>
        <w:pStyle w:val="Compact"/>
        <w:numPr>
          <w:ilvl w:val="0"/>
          <w:numId w:val="1"/>
        </w:numPr>
        <w:rPr/>
      </w:pPr>
      <w:r>
        <w:rPr/>
        <w:t>Описание функциональных характеристик — назначение, класс ПО и состав модулей;</w:t>
      </w:r>
    </w:p>
    <w:p>
      <w:pPr>
        <w:pStyle w:val="Compact"/>
        <w:numPr>
          <w:ilvl w:val="0"/>
          <w:numId w:val="1"/>
        </w:numPr>
        <w:rPr/>
      </w:pPr>
      <w:r>
        <w:rPr/>
        <w:t>Инструкция по эксплуатации — установка стенда, настройка и сопровождение;</w:t>
      </w:r>
    </w:p>
    <w:p>
      <w:pPr>
        <w:pStyle w:val="Compact"/>
        <w:numPr>
          <w:ilvl w:val="0"/>
          <w:numId w:val="1"/>
        </w:numPr>
        <w:rPr/>
      </w:pPr>
      <w:r>
        <w:rPr/>
        <w:t>Описание жизненного цикла — разработка, сборка и поддержка;</w:t>
      </w:r>
    </w:p>
    <w:p>
      <w:pPr>
        <w:pStyle w:val="Compact"/>
        <w:numPr>
          <w:ilvl w:val="0"/>
          <w:numId w:val="1"/>
        </w:numPr>
        <w:rPr/>
      </w:pPr>
      <w:bookmarkStart w:id="10" w:name="область-применения"/>
      <w:r>
        <w:rPr/>
        <w:t>Описание технических средств — хранение исходного и объектного кода.</w:t>
      </w:r>
      <w:bookmarkEnd w:id="10"/>
    </w:p>
    <w:p>
      <w:pPr>
        <w:pStyle w:val="Heading1"/>
        <w:rPr/>
      </w:pPr>
      <w:bookmarkStart w:id="11" w:name="__RefHeading___Toc976_1869876486"/>
      <w:bookmarkStart w:id="12" w:name="архитектура-с-точки-зрения-пользователя"/>
      <w:bookmarkEnd w:id="11"/>
      <w:r>
        <w:rPr/>
        <w:t>Архитектура с точки зрения пользователя</w:t>
      </w:r>
    </w:p>
    <w:p>
      <w:pPr>
        <w:pStyle w:val="FirstParagraph"/>
        <w:rPr/>
      </w:pPr>
      <w:r>
        <w:rPr/>
        <w:t>Платформа для пользователя выглядит как один сайт. Внутри она состоит из трёх контуров и общего серверного ядра.</w:t>
      </w:r>
    </w:p>
    <w:p>
      <w:pPr>
        <w:pStyle w:val="BodyText"/>
        <w:rPr/>
      </w:pPr>
      <w:r>
        <w:rPr/>
        <w:t>Публичный сайт и личные кабинеты построены на Nuxt 4 (Vue 3, TypeScript) с серверным рендерингом страниц. Это нужно и для удобства, и для того, чтобы карточки секций индексировались поисковыми системами.</w:t>
      </w:r>
    </w:p>
    <w:p>
      <w:pPr>
        <w:pStyle w:val="BodyText"/>
        <w:rPr/>
      </w:pPr>
      <w:r>
        <w:rPr/>
        <w:t>Программный интерфейс (API) реализован на Django 6 и Django REST Framework с расширением GeoDjango. Через него сайт получает каталог, заявки, учётные записи и результаты геопоиска.</w:t>
      </w:r>
    </w:p>
    <w:p>
      <w:pPr>
        <w:pStyle w:val="BodyText"/>
        <w:rPr/>
      </w:pPr>
      <w:r>
        <w:rPr/>
        <w:t>Бэкофис — административный интерфейс Django (оформление django-unfold). Модератор работает с той же базой данных, что и публичный сайт, поэтому публикация карточки сразу отражается на сайте.</w:t>
      </w:r>
    </w:p>
    <w:p>
      <w:pPr>
        <w:pStyle w:val="BodyText"/>
        <w:rPr/>
      </w:pPr>
      <w:r>
        <w:rPr/>
        <w:t>Серверное ядро использует PostgreSQL 17 с расширением PostGIS для адресов и расстояний и Redis для кэша и очередей фоновых задач Celery. Медиафайлы (фотографии карточек, документы) хранятся в объектном хранилище на территории Российской Федерации. На стенде для проверки допускается локальный каталог вместо объектного хранилища.</w:t>
      </w:r>
    </w:p>
    <w:p>
      <w:pPr>
        <w:pStyle w:val="SourceCode"/>
        <w:rPr/>
      </w:pPr>
      <w:r>
        <w:rPr>
          <w:rStyle w:val="VerbatimChar"/>
        </w:rPr>
        <w:t>Браузер  →  Сайт (Nuxt, SSR)</w:t>
      </w:r>
      <w:r>
        <w:rPr/>
        <w:br/>
      </w:r>
      <w:r>
        <w:rPr>
          <w:rStyle w:val="VerbatimChar"/>
        </w:rPr>
        <w:t xml:space="preserve">                │</w:t>
      </w:r>
      <w:r>
        <w:rPr/>
        <w:br/>
      </w:r>
      <w:r>
        <w:rPr>
          <w:rStyle w:val="VerbatimChar"/>
        </w:rPr>
        <w:t xml:space="preserve">                ├── внутренний HTTP → API (Django)</w:t>
      </w:r>
      <w:r>
        <w:rPr/>
        <w:br/>
      </w:r>
      <w:r>
        <w:rPr>
          <w:rStyle w:val="VerbatimChar"/>
        </w:rPr>
        <w:t xml:space="preserve">                └── статика / медиа</w:t>
      </w:r>
      <w:r>
        <w:rPr/>
        <w:br/>
        <w:br/>
      </w:r>
      <w:r>
        <w:rPr>
          <w:rStyle w:val="VerbatimChar"/>
        </w:rPr>
        <w:t>Модератор →  Бэкофис (Django admin) → та же база данных</w:t>
      </w:r>
      <w:r>
        <w:rPr/>
        <w:br/>
        <w:br/>
      </w:r>
      <w:r>
        <w:rPr>
          <w:rStyle w:val="VerbatimChar"/>
        </w:rPr>
        <w:t>ИИ-советник → API → внешняя платформа Cognitum (OpenAI-совместимый HTTP)</w:t>
      </w:r>
    </w:p>
    <w:p>
      <w:pPr>
        <w:pStyle w:val="FirstParagraph"/>
        <w:rPr/>
      </w:pPr>
      <w:r>
        <w:rPr/>
        <w:t>Развёртывание выполняется набором контейнеров Docker: сайт, API, воркер фоновых задач, база данных, Redis, на промышленном контуре — nginx. Пользователь не ставит клиентское приложение.</w:t>
      </w:r>
    </w:p>
    <w:p>
      <w:pPr>
        <w:pStyle w:val="BodyText"/>
        <w:rPr/>
      </w:pPr>
      <w:bookmarkStart w:id="13" w:name="архитектура-с-точки-зрения-пользователя"/>
      <w:r>
        <w:rPr/>
        <w:t>ИИ-советник не содержит собственной языковой модели. Платформа направляет запрос во внешний российский сервис Cognitum и показывает ответ вместе с карточками секций из собственного каталога. Если ключ Cognitum не задан, каталог, заявки и кабинеты продолжают работать.</w:t>
      </w:r>
      <w:bookmarkEnd w:id="13"/>
    </w:p>
    <w:p>
      <w:pPr>
        <w:pStyle w:val="Heading1"/>
        <w:rPr/>
      </w:pPr>
      <w:bookmarkStart w:id="14" w:name="__RefHeading___Toc978_1869876486"/>
      <w:bookmarkStart w:id="15" w:name="работа-гостя"/>
      <w:bookmarkEnd w:id="14"/>
      <w:r>
        <w:rPr/>
        <w:t>Работа гостя</w:t>
      </w:r>
    </w:p>
    <w:p>
      <w:pPr>
        <w:pStyle w:val="FirstParagraph"/>
        <w:rPr/>
      </w:pPr>
      <w:r>
        <w:rPr/>
        <w:t>Гость — любой посетитель сайта, который ещё не вошёл в учётную запись. Для поиска секции, просмотра карточки и подачи заявки регистрация не обязательна.</w:t>
      </w:r>
    </w:p>
    <w:p>
      <w:pPr>
        <w:pStyle w:val="Heading2"/>
        <w:rPr/>
      </w:pPr>
      <w:bookmarkStart w:id="16" w:name="__RefHeading___Toc980_1869876486"/>
      <w:bookmarkStart w:id="17" w:name="главная-страница"/>
      <w:bookmarkEnd w:id="16"/>
      <w:r>
        <w:rPr/>
        <w:t>Главная страница</w:t>
      </w:r>
    </w:p>
    <w:p>
      <w:pPr>
        <w:pStyle w:val="FirstParagraph"/>
        <w:rPr/>
      </w:pPr>
      <w:r>
        <w:rPr/>
        <w:t>Главная страница задаёт точку входа. На ней расположены:</w:t>
      </w:r>
    </w:p>
    <w:p>
      <w:pPr>
        <w:pStyle w:val="Compact"/>
        <w:numPr>
          <w:ilvl w:val="0"/>
          <w:numId w:val="7"/>
        </w:numPr>
        <w:rPr/>
      </w:pPr>
      <w:r>
        <w:rPr/>
        <w:t>поиск секций по названию, виду спорта и городу;</w:t>
      </w:r>
    </w:p>
    <w:p>
      <w:pPr>
        <w:pStyle w:val="Compact"/>
        <w:numPr>
          <w:ilvl w:val="0"/>
          <w:numId w:val="8"/>
        </w:numPr>
        <w:rPr/>
      </w:pPr>
      <w:r>
        <w:rPr/>
        <w:t>переход в каталог и афишу;</w:t>
      </w:r>
    </w:p>
    <w:p>
      <w:pPr>
        <w:pStyle w:val="Compact"/>
        <w:numPr>
          <w:ilvl w:val="0"/>
          <w:numId w:val="9"/>
        </w:numPr>
        <w:rPr/>
      </w:pPr>
      <w:r>
        <w:rPr/>
        <w:t>вход в ИИ-советник;</w:t>
      </w:r>
    </w:p>
    <w:p>
      <w:pPr>
        <w:pStyle w:val="Compact"/>
        <w:numPr>
          <w:ilvl w:val="0"/>
          <w:numId w:val="10"/>
        </w:numPr>
        <w:rPr/>
      </w:pPr>
      <w:r>
        <w:rPr/>
        <w:t>приглашение партнёрам разместить организацию;</w:t>
      </w:r>
    </w:p>
    <w:p>
      <w:pPr>
        <w:pStyle w:val="Compact"/>
        <w:numPr>
          <w:ilvl w:val="0"/>
          <w:numId w:val="11"/>
        </w:numPr>
        <w:rPr/>
      </w:pPr>
      <w:r>
        <w:rPr/>
        <w:t>блоки с популярными видами спорта и материалами.</w:t>
      </w:r>
    </w:p>
    <w:p>
      <w:pPr>
        <w:pStyle w:val="CaptionedFigure"/>
        <w:rPr/>
      </w:pPr>
      <w:r>
        <w:rPr/>
        <w:drawing>
          <wp:inline distT="0" distB="0" distL="0" distR="0">
            <wp:extent cx="5930900" cy="5028565"/>
            <wp:effectExtent l="0" t="0" r="0" b="0"/>
            <wp:docPr id="2" name="Picture" descr="Главная стран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Главная страница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5028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ImageCaption"/>
        <w:rPr/>
      </w:pPr>
      <w:bookmarkStart w:id="18" w:name="главная-страница"/>
      <w:r>
        <w:rPr/>
        <w:t>Главная страница</w:t>
      </w:r>
      <w:bookmarkEnd w:id="18"/>
    </w:p>
    <w:p>
      <w:pPr>
        <w:pStyle w:val="Heading2"/>
        <w:rPr/>
      </w:pPr>
      <w:bookmarkStart w:id="19" w:name="__RefHeading___Toc982_1869876486"/>
      <w:bookmarkStart w:id="20" w:name="каталог"/>
      <w:bookmarkEnd w:id="19"/>
      <w:r>
        <w:rPr/>
        <w:t>Каталог</w:t>
      </w:r>
    </w:p>
    <w:p>
      <w:pPr>
        <w:pStyle w:val="FirstParagraph"/>
        <w:rPr/>
      </w:pPr>
      <w:r>
        <w:rPr/>
        <w:t xml:space="preserve">Каталог открывается по адресу </w:t>
      </w:r>
      <w:r>
        <w:rPr>
          <w:rStyle w:val="VerbatimChar"/>
        </w:rPr>
        <w:t>/catalog</w:t>
      </w:r>
      <w:r>
        <w:rPr/>
        <w:t>. В списке — клубы, тренеры, врачи, организаторы и площадки, прошедшие модерацию. Неопубликованные карточки гостю не показываются.</w:t>
      </w:r>
    </w:p>
    <w:p>
      <w:pPr>
        <w:pStyle w:val="BodyText"/>
        <w:rPr/>
      </w:pPr>
      <w:r>
        <w:rPr/>
        <w:t>Фильтры позволяют сузить выдачу по виду спорта, городу, району, типу провайдера и другим признакам, предусмотренным формой. Если у адреса заданы координаты, доступен поиск с учётом расположения. Результаты можно листать постранично.</w:t>
      </w:r>
    </w:p>
    <w:p>
      <w:pPr>
        <w:pStyle w:val="CaptionedFigure"/>
        <w:rPr/>
      </w:pPr>
      <w:r>
        <w:rPr/>
        <w:drawing>
          <wp:inline distT="0" distB="0" distL="0" distR="0">
            <wp:extent cx="5930900" cy="5028565"/>
            <wp:effectExtent l="0" t="0" r="0" b="0"/>
            <wp:docPr id="3" name="Image2" descr="Каталог секц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 descr="Каталог секци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5028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ImageCaption"/>
        <w:rPr/>
      </w:pPr>
      <w:bookmarkStart w:id="21" w:name="каталог"/>
      <w:r>
        <w:rPr/>
        <w:t>Каталог секций</w:t>
      </w:r>
      <w:bookmarkEnd w:id="21"/>
    </w:p>
    <w:p>
      <w:pPr>
        <w:pStyle w:val="Heading2"/>
        <w:rPr/>
      </w:pPr>
      <w:bookmarkStart w:id="22" w:name="__RefHeading___Toc984_1869876486"/>
      <w:bookmarkStart w:id="23" w:name="карточка-провайдера"/>
      <w:bookmarkEnd w:id="22"/>
      <w:r>
        <w:rPr/>
        <w:t>Карточка провайдера</w:t>
      </w:r>
    </w:p>
    <w:p>
      <w:pPr>
        <w:pStyle w:val="FirstParagraph"/>
        <w:rPr/>
      </w:pPr>
      <w:r>
        <w:rPr/>
        <w:t>Карточка открывается из каталога или из ответа ИИ-советника. На ней:</w:t>
      </w:r>
    </w:p>
    <w:p>
      <w:pPr>
        <w:pStyle w:val="Compact"/>
        <w:numPr>
          <w:ilvl w:val="0"/>
          <w:numId w:val="12"/>
        </w:numPr>
        <w:rPr/>
      </w:pPr>
      <w:r>
        <w:rPr/>
        <w:t>название, тип и описание;</w:t>
      </w:r>
    </w:p>
    <w:p>
      <w:pPr>
        <w:pStyle w:val="Compact"/>
        <w:numPr>
          <w:ilvl w:val="0"/>
          <w:numId w:val="13"/>
        </w:numPr>
        <w:rPr/>
      </w:pPr>
      <w:r>
        <w:rPr/>
        <w:t>виды спорта;</w:t>
      </w:r>
    </w:p>
    <w:p>
      <w:pPr>
        <w:pStyle w:val="Compact"/>
        <w:numPr>
          <w:ilvl w:val="0"/>
          <w:numId w:val="14"/>
        </w:numPr>
        <w:rPr/>
      </w:pPr>
      <w:r>
        <w:rPr/>
        <w:t>адрес и карта, если точка задана;</w:t>
      </w:r>
    </w:p>
    <w:p>
      <w:pPr>
        <w:pStyle w:val="Compact"/>
        <w:numPr>
          <w:ilvl w:val="0"/>
          <w:numId w:val="15"/>
        </w:numPr>
        <w:rPr/>
      </w:pPr>
      <w:r>
        <w:rPr/>
        <w:t>контакты в объёме, который партнёр разрешил показывать;</w:t>
      </w:r>
    </w:p>
    <w:p>
      <w:pPr>
        <w:pStyle w:val="Compact"/>
        <w:numPr>
          <w:ilvl w:val="0"/>
          <w:numId w:val="16"/>
        </w:numPr>
        <w:rPr/>
      </w:pPr>
      <w:r>
        <w:rPr/>
        <w:t>отзывы после модерации;</w:t>
      </w:r>
    </w:p>
    <w:p>
      <w:pPr>
        <w:pStyle w:val="Compact"/>
        <w:numPr>
          <w:ilvl w:val="0"/>
          <w:numId w:val="17"/>
        </w:numPr>
        <w:rPr/>
      </w:pPr>
      <w:r>
        <w:rPr/>
        <w:t>кнопка заявки на пробное занятие или обращение.</w:t>
      </w:r>
    </w:p>
    <w:p>
      <w:pPr>
        <w:pStyle w:val="CaptionedFigure"/>
        <w:rPr/>
      </w:pPr>
      <w:r>
        <w:rPr/>
        <w:drawing>
          <wp:inline distT="0" distB="0" distL="0" distR="0">
            <wp:extent cx="5930900" cy="5028565"/>
            <wp:effectExtent l="0" t="0" r="0" b="0"/>
            <wp:docPr id="4" name="Image3" descr="Карточка провайд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" descr="Карточка провайдер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5028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ImageCaption"/>
        <w:rPr/>
      </w:pPr>
      <w:r>
        <w:rPr/>
        <w:t>Карточка провайдера</w:t>
      </w:r>
    </w:p>
    <w:p>
      <w:pPr>
        <w:pStyle w:val="BodyText"/>
        <w:rPr/>
      </w:pPr>
      <w:bookmarkStart w:id="24" w:name="карточка-провайдера"/>
      <w:r>
        <w:rPr/>
        <w:t>Гость заполняет форму заявки: контакты родителя, возраст ребёнка, выбранную секцию, если она указана, и обязательное согласие на обработку персональных данных. ФИО ребёнка не требуется. После отправки заявка уходит партнёру; гость видит подтверждение на экране.</w:t>
      </w:r>
      <w:bookmarkEnd w:id="24"/>
    </w:p>
    <w:p>
      <w:pPr>
        <w:pStyle w:val="Heading2"/>
        <w:rPr/>
      </w:pPr>
      <w:bookmarkStart w:id="25" w:name="__RefHeading___Toc986_1869876486"/>
      <w:bookmarkStart w:id="26" w:name="афиша-событий"/>
      <w:bookmarkEnd w:id="25"/>
      <w:r>
        <w:rPr/>
        <w:t>Афиша событий</w:t>
      </w:r>
    </w:p>
    <w:p>
      <w:pPr>
        <w:pStyle w:val="FirstParagraph"/>
        <w:rPr/>
      </w:pPr>
      <w:r>
        <w:rPr/>
        <w:t>Афиша (</w:t>
      </w:r>
      <w:r>
        <w:rPr>
          <w:rStyle w:val="VerbatimChar"/>
        </w:rPr>
        <w:t>/events</w:t>
      </w:r>
      <w:r>
        <w:rPr/>
        <w:t>) показывает опубликованные события: соревнования, сборы, открытые занятия. У карточки события — дата, место, описание и, если организатор включил запись, форма регистрации.</w:t>
      </w:r>
    </w:p>
    <w:p>
      <w:pPr>
        <w:pStyle w:val="CaptionedFigure"/>
        <w:rPr/>
      </w:pPr>
      <w:r>
        <w:rPr/>
        <w:drawing>
          <wp:inline distT="0" distB="0" distL="0" distR="0">
            <wp:extent cx="5930900" cy="5028565"/>
            <wp:effectExtent l="0" t="0" r="0" b="0"/>
            <wp:docPr id="5" name="Image4" descr="Афиша событ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" descr="Афиша событи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5028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ImageCaption"/>
        <w:rPr/>
      </w:pPr>
      <w:bookmarkStart w:id="27" w:name="афиша-событий"/>
      <w:r>
        <w:rPr/>
        <w:t>Афиша событий</w:t>
      </w:r>
      <w:bookmarkEnd w:id="27"/>
    </w:p>
    <w:p>
      <w:pPr>
        <w:pStyle w:val="Heading2"/>
        <w:rPr/>
      </w:pPr>
      <w:bookmarkStart w:id="28" w:name="__RefHeading___Toc988_1869876486"/>
      <w:bookmarkStart w:id="29" w:name="ии-советник"/>
      <w:bookmarkEnd w:id="28"/>
      <w:r>
        <w:rPr/>
        <w:t>ИИ-советник</w:t>
      </w:r>
    </w:p>
    <w:p>
      <w:pPr>
        <w:pStyle w:val="FirstParagraph"/>
        <w:rPr/>
      </w:pPr>
      <w:r>
        <w:rPr/>
        <w:t>ИИ-советник (</w:t>
      </w:r>
      <w:r>
        <w:rPr>
          <w:rStyle w:val="VerbatimChar"/>
        </w:rPr>
        <w:t>/advisor</w:t>
      </w:r>
      <w:r>
        <w:rPr/>
        <w:t>) ведёт диалог о возрасте ребёнка, интересах и ограничениях. Ответ формируется внешней платформой Cognitum; Платформа добавляет к нему карточки секций из собственного каталога. Советник не заменяет врача и тренера и не ставит диагноз.</w:t>
      </w:r>
    </w:p>
    <w:p>
      <w:pPr>
        <w:pStyle w:val="CaptionedFigure"/>
        <w:rPr/>
      </w:pPr>
      <w:r>
        <w:rPr/>
        <w:drawing>
          <wp:inline distT="0" distB="0" distL="0" distR="0">
            <wp:extent cx="5930900" cy="5028565"/>
            <wp:effectExtent l="0" t="0" r="0" b="0"/>
            <wp:docPr id="6" name="Image5" descr="ИИ-совет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" descr="ИИ-советник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5028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ImageCaption"/>
        <w:rPr/>
      </w:pPr>
      <w:r>
        <w:rPr/>
        <w:t>ИИ-советник</w:t>
      </w:r>
    </w:p>
    <w:p>
      <w:pPr>
        <w:pStyle w:val="BodyText"/>
        <w:rPr/>
      </w:pPr>
      <w:bookmarkStart w:id="30" w:name="ии-советник"/>
      <w:r>
        <w:rPr/>
        <w:t>Если внешний сервис недоступен, на экране появляется сообщение об ошибке. Каталог и заявки при этом остаются доступны.</w:t>
      </w:r>
      <w:bookmarkEnd w:id="30"/>
    </w:p>
    <w:p>
      <w:pPr>
        <w:pStyle w:val="Heading2"/>
        <w:rPr/>
      </w:pPr>
      <w:bookmarkStart w:id="31" w:name="__RefHeading___Toc990_1869876486"/>
      <w:bookmarkStart w:id="32" w:name="регистрация-и-вход"/>
      <w:bookmarkEnd w:id="31"/>
      <w:r>
        <w:rPr/>
        <w:t>Регистрация и вход</w:t>
      </w:r>
    </w:p>
    <w:p>
      <w:pPr>
        <w:pStyle w:val="FirstParagraph"/>
        <w:rPr/>
      </w:pPr>
      <w:r>
        <w:rPr/>
        <w:t>Регистрация и вход доступны по ссылкам в шапке сайта. Учётная запись создаётся по адресу электронной почты. Кроме того, поддерживается вход через российские идентификаторы: Яндекс ID, VK ID; учётные записи Mail.ru и Одноклассники — через VK ID.</w:t>
      </w:r>
    </w:p>
    <w:p>
      <w:pPr>
        <w:pStyle w:val="BodyText"/>
        <w:rPr/>
      </w:pPr>
      <w:bookmarkStart w:id="33" w:name="работа-гостя"/>
      <w:bookmarkStart w:id="34" w:name="регистрация-и-вход"/>
      <w:r>
        <w:rPr/>
        <w:t>После входа гость становится родителем: открывается кабинет, сохраняются избранное и история заявок.</w:t>
      </w:r>
      <w:bookmarkEnd w:id="33"/>
      <w:bookmarkEnd w:id="34"/>
    </w:p>
    <w:p>
      <w:pPr>
        <w:pStyle w:val="Heading1"/>
        <w:rPr/>
      </w:pPr>
      <w:bookmarkStart w:id="35" w:name="__RefHeading___Toc992_1869876486"/>
      <w:bookmarkStart w:id="36" w:name="работа-родителя"/>
      <w:bookmarkEnd w:id="35"/>
      <w:r>
        <w:rPr/>
        <w:t>Работа родителя</w:t>
      </w:r>
    </w:p>
    <w:p>
      <w:pPr>
        <w:pStyle w:val="FirstParagraph"/>
        <w:rPr/>
      </w:pPr>
      <w:r>
        <w:rPr/>
        <w:t>Родитель — пользователь с учётной записью. Он пользуется публичным каталогом наравне с гостем и дополнительно ведёт личный кабинет. Регистрация нужна, чтобы сохранять избранное, видеть историю заявок и не заполнять контакты заново при каждом обращении.</w:t>
      </w:r>
    </w:p>
    <w:p>
      <w:pPr>
        <w:pStyle w:val="Heading2"/>
        <w:rPr/>
      </w:pPr>
      <w:bookmarkStart w:id="37" w:name="__RefHeading___Toc994_1869876486"/>
      <w:bookmarkStart w:id="38" w:name="вход-в-кабинет"/>
      <w:bookmarkEnd w:id="37"/>
      <w:r>
        <w:rPr/>
        <w:t>Вход в кабинет</w:t>
      </w:r>
    </w:p>
    <w:p>
      <w:pPr>
        <w:pStyle w:val="FirstParagraph"/>
        <w:rPr/>
      </w:pPr>
      <w:r>
        <w:rPr/>
        <w:t>После входа в шапке появляется переход в кабинет. Разделы зависят от версии интерфейса, но логика одна: данные родителя, дети, заявки, избранное, связанное расписание.</w:t>
      </w:r>
    </w:p>
    <w:p>
      <w:pPr>
        <w:pStyle w:val="BodyText"/>
        <w:rPr/>
      </w:pPr>
      <w:r>
        <w:rPr/>
        <w:t>Восстановление пароля выполняется по электронной почте. Письмо отправляется с адреса Платформы. Если письмо не пришло, стоит проверить папку «спам» и обратиться в поддержку: hello@sportguide.ru.</w:t>
      </w:r>
    </w:p>
    <w:p>
      <w:pPr>
        <w:pStyle w:val="BodyText"/>
        <w:rPr/>
      </w:pPr>
      <w:bookmarkStart w:id="39" w:name="вход-в-кабинет"/>
      <w:r>
        <w:rPr/>
        <w:t>Вход через Яндекс ID или VK ID создаёт или привязывает ту же учётную запись. Пароль при соцвходе можно задать позже через восстановление, если понадобится вход по почте.</w:t>
      </w:r>
      <w:bookmarkEnd w:id="39"/>
    </w:p>
    <w:p>
      <w:pPr>
        <w:pStyle w:val="Heading2"/>
        <w:rPr/>
      </w:pPr>
      <w:bookmarkStart w:id="40" w:name="__RefHeading___Toc996_1869876486"/>
      <w:bookmarkStart w:id="41" w:name="карточки-детей"/>
      <w:bookmarkEnd w:id="40"/>
      <w:r>
        <w:rPr/>
        <w:t>Карточки детей</w:t>
      </w:r>
    </w:p>
    <w:p>
      <w:pPr>
        <w:pStyle w:val="FirstParagraph"/>
        <w:rPr/>
      </w:pPr>
      <w:r>
        <w:rPr/>
        <w:t>В кабинете родитель добавляет ребёнка. Для подбора секции достаточно возраста и, по желанию, ограничений по здоровью в свободной форме. ФИО ребёнка не является обязательным полем: Платформа намеренно не собирает лишние персональные данные несовершеннолетнего.</w:t>
      </w:r>
    </w:p>
    <w:p>
      <w:pPr>
        <w:pStyle w:val="BodyText"/>
        <w:rPr/>
      </w:pPr>
      <w:r>
        <w:rPr/>
        <w:t>Карточки детей используются при подаче заявки, чтобы не вводить возраст каждый раз, и в ИИ-советнике, если диалог привязан к профилю. Один родитель может вести несколько карточек — для разных детей.</w:t>
      </w:r>
    </w:p>
    <w:p>
      <w:pPr>
        <w:pStyle w:val="BodyText"/>
        <w:rPr/>
      </w:pPr>
      <w:bookmarkStart w:id="42" w:name="карточки-детей"/>
      <w:r>
        <w:rPr/>
        <w:t>Удаление карточки ребёнка не отменяет уже отправленные заявки: партнёр видит обращение в том виде, в котором оно ушло.</w:t>
      </w:r>
      <w:bookmarkEnd w:id="42"/>
    </w:p>
    <w:p>
      <w:pPr>
        <w:pStyle w:val="Heading2"/>
        <w:rPr/>
      </w:pPr>
      <w:bookmarkStart w:id="43" w:name="__RefHeading___Toc998_1869876486"/>
      <w:bookmarkStart w:id="44" w:name="заявки-и-избранное"/>
      <w:bookmarkEnd w:id="43"/>
      <w:r>
        <w:rPr/>
        <w:t>Заявки и избранное</w:t>
      </w:r>
    </w:p>
    <w:p>
      <w:pPr>
        <w:pStyle w:val="FirstParagraph"/>
        <w:rPr/>
      </w:pPr>
      <w:r>
        <w:rPr/>
        <w:t>История заявок показывает, куда родитель уже обращался: пробные занятия, события, сообщения провайдеру. Статус заявки отражает, что обращение принято Платформой и передано партнёру. Ответ партнёра в версии 1.0 приходит по указанному контакту (телефон или почта), а не как внутренний чат.</w:t>
      </w:r>
    </w:p>
    <w:p>
      <w:pPr>
        <w:pStyle w:val="BodyText"/>
        <w:rPr/>
      </w:pPr>
      <w:bookmarkStart w:id="45" w:name="заявки-и-избранное"/>
      <w:r>
        <w:rPr/>
        <w:t>Избранное сохраняет карточки секций и событий, к которым родитель хочет вернуться. Список доступен после входа с любого устройства. Избранное не публикуется и не видно другим пользователям.</w:t>
      </w:r>
      <w:bookmarkEnd w:id="45"/>
    </w:p>
    <w:p>
      <w:pPr>
        <w:pStyle w:val="Heading2"/>
        <w:rPr/>
      </w:pPr>
      <w:bookmarkStart w:id="46" w:name="__RefHeading___Toc1000_1869876486"/>
      <w:bookmarkStart w:id="47" w:name="расписание"/>
      <w:bookmarkEnd w:id="46"/>
      <w:r>
        <w:rPr/>
        <w:t>Расписание</w:t>
      </w:r>
    </w:p>
    <w:p>
      <w:pPr>
        <w:pStyle w:val="FirstParagraph"/>
        <w:rPr/>
      </w:pPr>
      <w:bookmarkStart w:id="48" w:name="расписание"/>
      <w:r>
        <w:rPr/>
        <w:t>Если партнёр публикует расписание секции, родитель видит его на карточке и, при наличии связи с избранным или заявкой, в кабинете. Расписание носит информационный характер: запись на занятие в версии 1.0 идёт через заявку, а не через оплату слота. Платформа не списывает деньги и не бронирует место в группе автоматически.</w:t>
      </w:r>
      <w:bookmarkEnd w:id="48"/>
    </w:p>
    <w:p>
      <w:pPr>
        <w:pStyle w:val="Heading2"/>
        <w:rPr/>
      </w:pPr>
      <w:bookmarkStart w:id="49" w:name="__RefHeading___Toc1002_1869876486"/>
      <w:bookmarkStart w:id="50" w:name="выход"/>
      <w:bookmarkEnd w:id="49"/>
      <w:r>
        <w:rPr/>
        <w:t>Выход</w:t>
      </w:r>
    </w:p>
    <w:p>
      <w:pPr>
        <w:pStyle w:val="FirstParagraph"/>
        <w:rPr/>
      </w:pPr>
      <w:bookmarkStart w:id="51" w:name="работа-родителя"/>
      <w:bookmarkStart w:id="52" w:name="выход"/>
      <w:r>
        <w:rPr/>
        <w:t>Выход завершает сессию на этом устройстве. Для повторного доступа нужны электронная почта и пароль либо вход через идентификатор. На чужом компьютере после работы в кабинете выход обязателен.</w:t>
      </w:r>
      <w:bookmarkEnd w:id="51"/>
      <w:bookmarkEnd w:id="52"/>
    </w:p>
    <w:p>
      <w:pPr>
        <w:pStyle w:val="Heading1"/>
        <w:rPr/>
      </w:pPr>
      <w:bookmarkStart w:id="53" w:name="__RefHeading___Toc1004_1869876486"/>
      <w:bookmarkStart w:id="54" w:name="работа-партнёра"/>
      <w:bookmarkEnd w:id="53"/>
      <w:r>
        <w:rPr/>
        <w:t>Работа партнёра</w:t>
      </w:r>
    </w:p>
    <w:p>
      <w:pPr>
        <w:pStyle w:val="FirstParagraph"/>
        <w:rPr/>
      </w:pPr>
      <w:r>
        <w:rPr/>
        <w:t>Партнёр размещает на Платформе сведения о своей организации или о себе как специалисте и принимает обращения родителей. Типы карточек версии 1.0: клуб или школа, частный тренер, спортивный врач, организатор событий, площадка (зал).</w:t>
      </w:r>
    </w:p>
    <w:p>
      <w:pPr>
        <w:pStyle w:val="Heading2"/>
        <w:rPr/>
      </w:pPr>
      <w:bookmarkStart w:id="55" w:name="__RefHeading___Toc1006_1869876486"/>
      <w:bookmarkStart w:id="56" w:name="заявка-на-размещение"/>
      <w:bookmarkEnd w:id="55"/>
      <w:r>
        <w:rPr/>
        <w:t>Заявка на размещение</w:t>
      </w:r>
    </w:p>
    <w:p>
      <w:pPr>
        <w:pStyle w:val="FirstParagraph"/>
        <w:rPr/>
      </w:pPr>
      <w:r>
        <w:rPr/>
        <w:t>На сайте есть раздел для партнёров с формой заявки. В ней указываются название, тип, город, контакты и краткое описание. Заявка попадает модератору. Пока она не одобрена, публичной карточки нет: каталог не показывает черновики.</w:t>
      </w:r>
    </w:p>
    <w:p>
      <w:pPr>
        <w:pStyle w:val="BodyText"/>
        <w:rPr/>
      </w:pPr>
      <w:bookmarkStart w:id="57" w:name="заявка-на-размещение"/>
      <w:r>
        <w:rPr/>
        <w:t>После одобрения партнёр получает доступ к кабинету. Учётная запись привязывается к организации. Если заявка отклонена, причина доступна модератору; партнёру её сообщают по указанному контакту.</w:t>
      </w:r>
      <w:bookmarkEnd w:id="57"/>
    </w:p>
    <w:p>
      <w:pPr>
        <w:pStyle w:val="Heading2"/>
        <w:rPr/>
      </w:pPr>
      <w:bookmarkStart w:id="58" w:name="__RefHeading___Toc1008_1869876486"/>
      <w:bookmarkStart w:id="59" w:name="кабинет-организации"/>
      <w:bookmarkEnd w:id="58"/>
      <w:r>
        <w:rPr/>
        <w:t>Кабинет организации</w:t>
      </w:r>
    </w:p>
    <w:p>
      <w:pPr>
        <w:pStyle w:val="FirstParagraph"/>
        <w:rPr/>
      </w:pPr>
      <w:r>
        <w:rPr/>
        <w:t>В кабинете партнёр:</w:t>
      </w:r>
    </w:p>
    <w:p>
      <w:pPr>
        <w:pStyle w:val="Compact"/>
        <w:numPr>
          <w:ilvl w:val="0"/>
          <w:numId w:val="18"/>
        </w:numPr>
        <w:rPr/>
      </w:pPr>
      <w:r>
        <w:rPr/>
        <w:t>правит название, описание, виды спорта, адрес, контакты и фотографии;</w:t>
      </w:r>
    </w:p>
    <w:p>
      <w:pPr>
        <w:pStyle w:val="Compact"/>
        <w:numPr>
          <w:ilvl w:val="0"/>
          <w:numId w:val="19"/>
        </w:numPr>
        <w:rPr/>
      </w:pPr>
      <w:r>
        <w:rPr/>
        <w:t>ведёт секции и, если предусмотрено типом, специалистов;</w:t>
      </w:r>
    </w:p>
    <w:p>
      <w:pPr>
        <w:pStyle w:val="Compact"/>
        <w:numPr>
          <w:ilvl w:val="0"/>
          <w:numId w:val="20"/>
        </w:numPr>
        <w:rPr/>
      </w:pPr>
      <w:r>
        <w:rPr/>
        <w:t>смотрит входящие заявки родителей и отмечает работу с ними;</w:t>
      </w:r>
    </w:p>
    <w:p>
      <w:pPr>
        <w:pStyle w:val="Compact"/>
        <w:numPr>
          <w:ilvl w:val="0"/>
          <w:numId w:val="21"/>
        </w:numPr>
        <w:rPr/>
      </w:pPr>
      <w:r>
        <w:rPr/>
        <w:t>видит статус модерации правок.</w:t>
      </w:r>
    </w:p>
    <w:p>
      <w:pPr>
        <w:pStyle w:val="FirstParagraph"/>
        <w:rPr/>
      </w:pPr>
      <w:r>
        <w:rPr/>
        <w:t>Изменения карточки, которые влияют на публичную выдачу, снова проходят модерацию. Это защищает каталог от недостоверных сведений. Пока правка не опубликована, на сайте остаётся предыдущая одобренная версия.</w:t>
      </w:r>
    </w:p>
    <w:p>
      <w:pPr>
        <w:pStyle w:val="BodyText"/>
        <w:rPr/>
      </w:pPr>
      <w:bookmarkStart w:id="60" w:name="кабинет-организации"/>
      <w:r>
        <w:rPr/>
        <w:t>Адрес лучше указывать так, чтобы его можно было найти на карте. Если подключены подсказки DaData, координаты записываются автоматически. Без координат карточка остаётся в каталоге по городу и району, но поиск «рядом» её не учитывает.</w:t>
      </w:r>
      <w:bookmarkEnd w:id="60"/>
    </w:p>
    <w:p>
      <w:pPr>
        <w:pStyle w:val="Heading2"/>
        <w:rPr/>
      </w:pPr>
      <w:bookmarkStart w:id="61" w:name="__RefHeading___Toc1010_1869876486"/>
      <w:bookmarkStart w:id="62" w:name="входящие-заявки"/>
      <w:bookmarkEnd w:id="61"/>
      <w:r>
        <w:rPr/>
        <w:t>Входящие заявки</w:t>
      </w:r>
    </w:p>
    <w:p>
      <w:pPr>
        <w:pStyle w:val="FirstParagraph"/>
        <w:rPr/>
      </w:pPr>
      <w:r>
        <w:rPr/>
        <w:t>Родитель оставляет заявку с карточки или из афиши. Партнёр видит контакт, возраст ребёнка, выбранную секцию или событие и комментарий. Дальнейшая договорённость о времени пробного занятия идёт вне Платформы — по телефону или почте.</w:t>
      </w:r>
    </w:p>
    <w:p>
      <w:pPr>
        <w:pStyle w:val="BodyText"/>
        <w:rPr/>
      </w:pPr>
      <w:bookmarkStart w:id="63" w:name="входящие-заявки"/>
      <w:r>
        <w:rPr/>
        <w:t>Игнорировать заявки не рекомендуется: модератор видит очередь обращений и может уточнить, работает ли карточка.</w:t>
      </w:r>
      <w:bookmarkEnd w:id="63"/>
    </w:p>
    <w:p>
      <w:pPr>
        <w:pStyle w:val="Heading2"/>
        <w:rPr/>
      </w:pPr>
      <w:bookmarkStart w:id="64" w:name="__RefHeading___Toc1012_1869876486"/>
      <w:bookmarkStart w:id="65" w:name="тариф"/>
      <w:bookmarkEnd w:id="64"/>
      <w:r>
        <w:rPr/>
        <w:t>Тариф</w:t>
      </w:r>
    </w:p>
    <w:p>
      <w:pPr>
        <w:pStyle w:val="FirstParagraph"/>
        <w:rPr/>
      </w:pPr>
      <w:r>
        <w:rPr/>
        <w:t>Набор функций кабинета определяется тарифом. В версии 1.0 тариф активирует сотрудник правообладателя вручную после договорённости по оферте. Онлайн-оплата на сайте не выполняется, платёжный шлюз не подключён.</w:t>
      </w:r>
    </w:p>
    <w:p>
      <w:pPr>
        <w:pStyle w:val="BodyText"/>
        <w:rPr/>
      </w:pPr>
      <w:bookmarkStart w:id="66" w:name="тариф"/>
      <w:r>
        <w:rPr/>
        <w:t>Если тариф ограничен, в кабинете отображается, какие действия недоступны. Расширение тарифа оформляется через контакт с правообладателем (hello@sportguide.ru). Учёт тарифа ведётся в той же базе данных, что и каталог; отдельного лицензионного ключа партнёру не выдают.</w:t>
      </w:r>
      <w:bookmarkEnd w:id="66"/>
    </w:p>
    <w:p>
      <w:pPr>
        <w:pStyle w:val="Heading2"/>
        <w:rPr/>
      </w:pPr>
      <w:bookmarkStart w:id="67" w:name="__RefHeading___Toc1014_1869876486"/>
      <w:bookmarkStart w:id="68" w:name="отзывы"/>
      <w:bookmarkEnd w:id="67"/>
      <w:r>
        <w:rPr/>
        <w:t>Отзывы</w:t>
      </w:r>
    </w:p>
    <w:p>
      <w:pPr>
        <w:pStyle w:val="FirstParagraph"/>
        <w:rPr/>
      </w:pPr>
      <w:bookmarkStart w:id="69" w:name="работа-партнёра"/>
      <w:bookmarkStart w:id="70" w:name="отзывы"/>
      <w:r>
        <w:rPr/>
        <w:t>Отзывы родителей появляются на карточке только после проверки модератором. Партнёр не публикует отзывы самостоятельно и не скрывает прошедшие модерацию записи через кабинет версии 1.0. Спорные отзывы разбираются через поддержку.</w:t>
      </w:r>
      <w:bookmarkEnd w:id="69"/>
      <w:bookmarkEnd w:id="70"/>
    </w:p>
    <w:p>
      <w:pPr>
        <w:pStyle w:val="Heading1"/>
        <w:rPr/>
      </w:pPr>
      <w:bookmarkStart w:id="71" w:name="__RefHeading___Toc1016_1869876486"/>
      <w:bookmarkStart w:id="72" w:name="работа-модератора"/>
      <w:bookmarkEnd w:id="71"/>
      <w:r>
        <w:rPr/>
        <w:t>Работа модератора</w:t>
      </w:r>
    </w:p>
    <w:p>
      <w:pPr>
        <w:pStyle w:val="FirstParagraph"/>
        <w:rPr/>
      </w:pPr>
      <w:r>
        <w:rPr/>
        <w:t>Модератор обеспечивает достоверность публичного каталога. Без его решения карточка, отзыв, событие или материал не появляются на сайте.</w:t>
      </w:r>
    </w:p>
    <w:p>
      <w:pPr>
        <w:pStyle w:val="Heading2"/>
        <w:rPr/>
      </w:pPr>
      <w:bookmarkStart w:id="73" w:name="__RefHeading___Toc1018_1869876486"/>
      <w:bookmarkStart w:id="74" w:name="вход-в-бэкофис"/>
      <w:bookmarkEnd w:id="73"/>
      <w:r>
        <w:rPr/>
        <w:t>Вход в бэкофис</w:t>
      </w:r>
    </w:p>
    <w:p>
      <w:pPr>
        <w:pStyle w:val="FirstParagraph"/>
        <w:rPr/>
      </w:pPr>
      <w:r>
        <w:rPr/>
        <w:t xml:space="preserve">Бэкофис открывается по адресу API-сервера (на стенде обычно </w:t>
      </w:r>
      <w:r>
        <w:rPr>
          <w:rStyle w:val="VerbatimChar"/>
        </w:rPr>
        <w:t>http://&lt;хост&gt;:8000/admin/</w:t>
      </w:r>
      <w:r>
        <w:rPr/>
        <w:t>). Вход — по учётной записи сотрудника с признаком персонала. Пароль задаётся при создании пользователя и не передаётся посторонним.</w:t>
      </w:r>
    </w:p>
    <w:p>
      <w:pPr>
        <w:pStyle w:val="BodyText"/>
        <w:rPr/>
      </w:pPr>
      <w:bookmarkStart w:id="75" w:name="вход-в-бэкофис"/>
      <w:r>
        <w:rPr/>
        <w:t>Интерфейс оформлен на русском языке. Слева — разделы приложений: каталог, события, заявки, отзывы, учётные записи, контент, тарифы.</w:t>
      </w:r>
      <w:bookmarkEnd w:id="75"/>
    </w:p>
    <w:p>
      <w:pPr>
        <w:pStyle w:val="Heading2"/>
        <w:rPr/>
      </w:pPr>
      <w:bookmarkStart w:id="76" w:name="__RefHeading___Toc1020_1869876486"/>
      <w:bookmarkStart w:id="77" w:name="очередь-модерации"/>
      <w:bookmarkEnd w:id="76"/>
      <w:r>
        <w:rPr/>
        <w:t>Очередь модерации</w:t>
      </w:r>
    </w:p>
    <w:p>
      <w:pPr>
        <w:pStyle w:val="FirstParagraph"/>
        <w:rPr/>
      </w:pPr>
      <w:r>
        <w:rPr/>
        <w:t>Типичный порядок работы:</w:t>
      </w:r>
    </w:p>
    <w:p>
      <w:pPr>
        <w:pStyle w:val="Compact"/>
        <w:numPr>
          <w:ilvl w:val="0"/>
          <w:numId w:val="22"/>
        </w:numPr>
        <w:rPr/>
      </w:pPr>
      <w:r>
        <w:rPr/>
        <w:t>Открыть записи со статусом «черновик» или «на модерации».</w:t>
      </w:r>
    </w:p>
    <w:p>
      <w:pPr>
        <w:pStyle w:val="Compact"/>
        <w:numPr>
          <w:ilvl w:val="0"/>
          <w:numId w:val="5"/>
        </w:numPr>
        <w:rPr/>
      </w:pPr>
      <w:r>
        <w:rPr/>
        <w:t>Проверить название, описание, адрес, виды спорта и контакты.</w:t>
      </w:r>
    </w:p>
    <w:p>
      <w:pPr>
        <w:pStyle w:val="Compact"/>
        <w:numPr>
          <w:ilvl w:val="0"/>
          <w:numId w:val="5"/>
        </w:numPr>
        <w:rPr/>
      </w:pPr>
      <w:r>
        <w:rPr/>
        <w:t>При необходимости запросить уточнение у партнёра (электронная почта, комментарий в карточке).</w:t>
      </w:r>
    </w:p>
    <w:p>
      <w:pPr>
        <w:pStyle w:val="Compact"/>
        <w:numPr>
          <w:ilvl w:val="0"/>
          <w:numId w:val="5"/>
        </w:numPr>
        <w:rPr/>
      </w:pPr>
      <w:r>
        <w:rPr/>
        <w:t>Перевести запись в статус «опубликовано» либо отклонить с причиной.</w:t>
      </w:r>
    </w:p>
    <w:p>
      <w:pPr>
        <w:pStyle w:val="FirstParagraph"/>
        <w:rPr/>
      </w:pPr>
      <w:bookmarkStart w:id="78" w:name="очередь-модерации"/>
      <w:r>
        <w:rPr/>
        <w:t>Публичные программные интерфейсы и серверный рендеринг сайта выбирают только записи со статусом «опубликовано». Ошибочная публикация снимается обратным переводом статуса.</w:t>
      </w:r>
      <w:bookmarkEnd w:id="78"/>
    </w:p>
    <w:p>
      <w:pPr>
        <w:pStyle w:val="Heading2"/>
        <w:rPr/>
      </w:pPr>
      <w:bookmarkStart w:id="79" w:name="__RefHeading___Toc1022_1869876486"/>
      <w:bookmarkStart w:id="80" w:name="заявки-партнёров-и-обращения-родителей"/>
      <w:bookmarkEnd w:id="79"/>
      <w:r>
        <w:rPr/>
        <w:t>Заявки партнёров и обращения родителей</w:t>
      </w:r>
    </w:p>
    <w:p>
      <w:pPr>
        <w:pStyle w:val="FirstParagraph"/>
        <w:rPr/>
      </w:pPr>
      <w:bookmarkStart w:id="81" w:name="заявки-партнёров-и-обращения-родителей"/>
      <w:r>
        <w:rPr/>
        <w:t>Заявки на размещение проверяются отдельно от правок уже опубликованных карточек. Обращения родителей модератор видит для контроля качества: отсутствие спама, наличие согласия на обработку персональных данных, корректная передача партнёру.</w:t>
      </w:r>
      <w:bookmarkEnd w:id="81"/>
    </w:p>
    <w:p>
      <w:pPr>
        <w:pStyle w:val="Heading2"/>
        <w:rPr/>
      </w:pPr>
      <w:bookmarkStart w:id="82" w:name="__RefHeading___Toc1024_1869876486"/>
      <w:bookmarkStart w:id="83" w:name="справочники"/>
      <w:bookmarkEnd w:id="82"/>
      <w:r>
        <w:rPr/>
        <w:t>Справочники</w:t>
      </w:r>
    </w:p>
    <w:p>
      <w:pPr>
        <w:pStyle w:val="FirstParagraph"/>
        <w:rPr/>
      </w:pPr>
      <w:bookmarkStart w:id="84" w:name="работа-модератора"/>
      <w:bookmarkStart w:id="85" w:name="справочники"/>
      <w:r>
        <w:rPr/>
        <w:t>Виды спорта, города и районы ведутся в бэкофисе. Новый город добавляется записью справочника, а не правкой кода. Это сохраняет городонезависимость Платформы.</w:t>
      </w:r>
      <w:bookmarkEnd w:id="84"/>
      <w:bookmarkEnd w:id="85"/>
    </w:p>
    <w:p>
      <w:pPr>
        <w:pStyle w:val="Heading1"/>
        <w:rPr/>
      </w:pPr>
      <w:bookmarkStart w:id="86" w:name="__RefHeading___Toc1026_1869876486"/>
      <w:bookmarkStart w:id="87" w:name="персональные-данные"/>
      <w:bookmarkEnd w:id="86"/>
      <w:r>
        <w:rPr/>
        <w:t>Персональные данные</w:t>
      </w:r>
    </w:p>
    <w:p>
      <w:pPr>
        <w:pStyle w:val="FirstParagraph"/>
        <w:rPr/>
      </w:pPr>
      <w:r>
        <w:rPr/>
        <w:t>Платформа обрабатывает персональные данные в соответствии с Федеральным законом от 27.07.2006 № 152-ФЗ. Подробности — в Политике обработки персональных данных на сайте.</w:t>
      </w:r>
    </w:p>
    <w:p>
      <w:pPr>
        <w:pStyle w:val="Heading2"/>
        <w:rPr/>
      </w:pPr>
      <w:bookmarkStart w:id="88" w:name="__RefHeading___Toc1028_1869876486"/>
      <w:bookmarkStart w:id="89" w:name="что-собирается"/>
      <w:bookmarkEnd w:id="88"/>
      <w:r>
        <w:rPr/>
        <w:t>Что собирается</w:t>
      </w:r>
    </w:p>
    <w:p>
      <w:pPr>
        <w:pStyle w:val="FirstParagraph"/>
        <w:rPr/>
      </w:pPr>
      <w:r>
        <w:rPr/>
        <w:t>У родителя: электронная почта, имя, телефон (если указан), сведения о заявках.</w:t>
      </w:r>
    </w:p>
    <w:p>
      <w:pPr>
        <w:pStyle w:val="BodyText"/>
        <w:rPr/>
      </w:pPr>
      <w:r>
        <w:rPr/>
        <w:t>У ребёнка: возраст и, по желанию родителя, ограничения, важные для подбора секции. ФИО ребёнка не является обязательным полем.</w:t>
      </w:r>
    </w:p>
    <w:p>
      <w:pPr>
        <w:pStyle w:val="BodyText"/>
        <w:rPr/>
      </w:pPr>
      <w:r>
        <w:rPr/>
        <w:t>У партнёра: сведения об организации, контакты ответственного лица, данные кабинета.</w:t>
      </w:r>
    </w:p>
    <w:p>
      <w:pPr>
        <w:pStyle w:val="BodyText"/>
        <w:rPr/>
      </w:pPr>
      <w:bookmarkStart w:id="90" w:name="что-собирается"/>
      <w:r>
        <w:rPr/>
        <w:t>В формах заявок фиксируются согласие на обработку персональных данных и метка времени.</w:t>
      </w:r>
      <w:bookmarkEnd w:id="90"/>
    </w:p>
    <w:p>
      <w:pPr>
        <w:pStyle w:val="Heading2"/>
        <w:rPr/>
      </w:pPr>
      <w:bookmarkStart w:id="91" w:name="__RefHeading___Toc1030_1869876486"/>
      <w:bookmarkStart w:id="92" w:name="где-хранятся"/>
      <w:bookmarkEnd w:id="91"/>
      <w:r>
        <w:rPr/>
        <w:t>Где хранятся</w:t>
      </w:r>
    </w:p>
    <w:p>
      <w:pPr>
        <w:pStyle w:val="FirstParagraph"/>
        <w:rPr/>
      </w:pPr>
      <w:bookmarkStart w:id="93" w:name="где-хранятся"/>
      <w:r>
        <w:rPr/>
        <w:t>Данные размещаются на серверах и в хранилище на территории Российской Федерации. Резервные копии не вывозятся за пределы РФ.</w:t>
      </w:r>
      <w:bookmarkEnd w:id="93"/>
    </w:p>
    <w:p>
      <w:pPr>
        <w:pStyle w:val="Heading2"/>
        <w:rPr/>
      </w:pPr>
      <w:bookmarkStart w:id="94" w:name="__RefHeading___Toc1032_1869876486"/>
      <w:bookmarkStart w:id="95" w:name="права-субъекта"/>
      <w:bookmarkEnd w:id="94"/>
      <w:r>
        <w:rPr/>
        <w:t>Права субъекта</w:t>
      </w:r>
    </w:p>
    <w:p>
      <w:pPr>
        <w:pStyle w:val="FirstParagraph"/>
        <w:spacing w:before="0" w:after="160"/>
        <w:jc w:val="both"/>
        <w:rPr/>
      </w:pPr>
      <w:bookmarkStart w:id="96" w:name="персональные-данные"/>
      <w:bookmarkStart w:id="97" w:name="права-субъекта"/>
      <w:r>
        <w:rPr/>
        <w:t>Обращения об уточнении, блокировке или удалении персональных данных направляются на hello@sportguide.ru. Правообладатель рассматривает их в сроки, установленные законом.</w:t>
      </w:r>
      <w:bookmarkEnd w:id="96"/>
      <w:bookmarkEnd w:id="97"/>
    </w:p>
    <w:sectPr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nextPage"/>
      <w:pgSz w:w="11906" w:h="16838"/>
      <w:pgMar w:left="1417" w:right="1134" w:gutter="0" w:header="720" w:top="1134" w:footer="72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onsolas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15</w:t>
    </w:r>
    <w:r>
      <w:rPr/>
      <w:fldChar w:fldCharType="end"/>
    </w:r>
  </w:p>
  <w:p>
    <w:pPr>
      <w:pStyle w:val="Normal"/>
      <w:spacing w:before="0" w:after="160"/>
      <w:jc w:val="center"/>
      <w:rPr/>
    </w:pPr>
    <w:r>
      <w:rPr>
        <w:rFonts w:eastAsia="Times New Roman"/>
        <w:b w:val="false"/>
        <w:color w:val="5C5A66"/>
        <w:sz w:val="18"/>
      </w:rPr>
      <w:t>ООО «СПОРТГИД»  ·  СпортГид: цифровая платформа детского спорта  ·  версия 1.0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jc w:val="left"/>
      <w:rPr/>
    </w:pPr>
    <w:r>
      <w:rPr/>
      <w:drawing>
        <wp:inline distT="0" distB="0" distL="0" distR="0">
          <wp:extent cx="1619885" cy="392430"/>
          <wp:effectExtent l="0" t="0" r="0" b="0"/>
          <wp:docPr id="7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5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before="320" w:after="160"/>
      <w:outlineLvl w:val="0"/>
    </w:pPr>
    <w:rPr>
      <w:rFonts w:ascii="Times New Roman" w:hAnsi="Times New Roman" w:eastAsia="Times New Roman" w:cs="Times New Roman"/>
      <w:b/>
      <w:color w:val="442A6B"/>
      <w:sz w:val="32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before="320" w:after="160"/>
      <w:outlineLvl w:val="1"/>
    </w:pPr>
    <w:rPr>
      <w:rFonts w:ascii="Times New Roman" w:hAnsi="Times New Roman" w:eastAsia="Times New Roman" w:cs="Times New Roman"/>
      <w:b/>
      <w:color w:val="442A6B"/>
      <w:sz w:val="28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before="320" w:after="160"/>
      <w:outlineLvl w:val="2"/>
    </w:pPr>
    <w:rPr>
      <w:rFonts w:ascii="Times New Roman" w:hAnsi="Times New Roman" w:eastAsia="Times New Roman" w:cs="Times New Roman"/>
      <w:b/>
      <w:color w:val="442A6B"/>
      <w:sz w:val="26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ascii="Times New Roman" w:hAnsi="Times New Roman" w:eastAsia="Times New Roman" w:cs="Times New Roman"/>
      <w:i/>
      <w:iCs/>
      <w:color w:themeColor="accent1" w:themeShade="bf" w:val="0F476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ascii="Times New Roman" w:hAnsi="Times New Roman" w:eastAsia="Times New Roman" w:cs="Times New Roman"/>
      <w:color w:themeColor="accent1" w:themeShade="bf" w:val="0F476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ascii="Times New Roman" w:hAnsi="Times New Roman" w:eastAsia="Times New Roman" w:cs="Times New Roman"/>
      <w:i/>
      <w:iCs/>
      <w:color w:themeColor="text1" w:themeTint="a6" w:val="595959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ascii="Times New Roman" w:hAnsi="Times New Roman" w:eastAsia="Times New Roman" w:cs="Times New Roman"/>
      <w:color w:themeColor="text1" w:themeTint="a6" w:val="595959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ascii="Times New Roman" w:hAnsi="Times New Roman" w:eastAsia="Times New Roman" w:cs="Times New Roman"/>
      <w:i/>
      <w:iCs/>
      <w:color w:themeColor="text1" w:themeTint="d8" w:val="272727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ascii="Times New Roman" w:hAnsi="Times New Roman" w:eastAsia="Times New Roman" w:cs="Times New Roman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Times New Roman" w:hAnsi="Times New Roman" w:eastAsia="Times New Roman" w:cs="Times New Roman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ascii="Times New Roman" w:hAnsi="Times New Roman" w:eastAsia="Times New Roman" w:cs="Times New Roman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Times New Roman" w:hAnsi="Times New Roman" w:eastAsia="Times New Roman" w:cs="Times New Roman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Times New Roman" w:hAnsi="Times New Roman" w:eastAsia="Times New Roman" w:cs="Times New Roman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ascii="Times New Roman" w:hAnsi="Times New Roman" w:eastAsia="Times New Roman" w:cs="Times New Roman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ascii="Times New Roman" w:hAnsi="Times New Roman" w:eastAsia="Times New Roman" w:cs="Times New Roman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ascii="Times New Roman" w:hAnsi="Times New Roman" w:eastAsia="Times New Roman" w:cs="Times New Roman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ascii="Times New Roman" w:hAnsi="Times New Roman" w:eastAsia="Times New Roman" w:cs="Times New Roman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ascii="Times New Roman" w:hAnsi="Times New Roman" w:eastAsia="Times New Roman" w:cs="Times New Roman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ascii="Times New Roman" w:hAnsi="Times New Roman" w:eastAsia="Times New Roman" w:cs="Times New Roman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ascii="Times New Roman" w:hAnsi="Times New Roman" w:eastAsia="Times New Roman" w:cs="Times New Roman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character" w:styleId="IndexLink">
    <w:name w:val="Index Link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0" w:after="160"/>
      <w:jc w:val="both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/>
  </w:style>
  <w:style w:type="paragraph" w:styleId="FirstParagraph" w:customStyle="1">
    <w:name w:val="First Paragraph"/>
    <w:basedOn w:val="BodyText"/>
    <w:next w:val="BodyText"/>
    <w:qFormat/>
    <w:pPr>
      <w:spacing w:before="0" w:after="160"/>
      <w:jc w:val="both"/>
    </w:pPr>
    <w:rPr/>
  </w:style>
  <w:style w:type="paragraph" w:styleId="Compact" w:customStyle="1">
    <w:name w:val="Compact"/>
    <w:basedOn w:val="BodyText"/>
    <w:qFormat/>
    <w:pPr>
      <w:spacing w:lineRule="auto" w:line="240" w:before="40" w:after="40"/>
      <w:jc w:val="left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lineRule="auto" w:line="240" w:before="0" w:after="240"/>
      <w:contextualSpacing/>
      <w:jc w:val="center"/>
    </w:pPr>
    <w:rPr>
      <w:rFonts w:ascii="Times New Roman" w:hAnsi="Times New Roman" w:eastAsia="Times New Roman" w:cs="Times New Roman"/>
      <w:b/>
      <w:color w:val="442A6B"/>
      <w:sz w:val="44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/>
    <w:rPr>
      <w:rFonts w:ascii="Times New Roman" w:hAnsi="Times New Roman" w:eastAsia="Times New Roman" w:cs="Times New Roman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hanging="0" w:left="480" w:right="48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240"/>
      <w:jc w:val="center"/>
      <w:outlineLvl w:val="9"/>
    </w:pPr>
    <w:rPr>
      <w:rFonts w:ascii="Times New Roman" w:hAnsi="Times New Roman" w:eastAsia="Times New Roman" w:cs="Times New Roman"/>
      <w:b/>
      <w:bCs w:val="false"/>
      <w:color w:val="442A6B"/>
      <w:sz w:val="32"/>
    </w:rPr>
  </w:style>
  <w:style w:type="paragraph" w:styleId="SourceCode" w:customStyle="1">
    <w:name w:val="Source Code"/>
    <w:basedOn w:val="Normal"/>
    <w:link w:val="VerbatimChar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paragraph" w:styleId="TOC1">
    <w:name w:val="toc 1"/>
    <w:basedOn w:val="Index"/>
    <w:pPr>
      <w:tabs>
        <w:tab w:val="clear" w:pos="720"/>
        <w:tab w:val="right" w:pos="9355" w:leader="dot"/>
      </w:tabs>
      <w:ind w:hanging="0" w:left="0"/>
    </w:pPr>
    <w:rPr/>
  </w:style>
  <w:style w:type="paragraph" w:styleId="TOC2">
    <w:name w:val="toc 2"/>
    <w:basedOn w:val="Index"/>
    <w:pPr>
      <w:tabs>
        <w:tab w:val="clear" w:pos="720"/>
        <w:tab w:val="right" w:pos="9072" w:leader="dot"/>
      </w:tabs>
      <w:ind w:hanging="0" w:left="283"/>
    </w:pPr>
    <w:rPr/>
  </w:style>
  <w:style w:type="table" w:default="1" w:styleId="Table">
    <w:name w:val="Table"/>
    <w:basedOn w:val="TableNormal"/>
    <w:semiHidden/>
    <w:unhideWhenUsed/>
    <w:qFormat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  <w:tblCellMar>
        <w:top w:w="40" w:type="dxa"/>
        <w:left w:w="108" w:type="dxa"/>
        <w:bottom w:w="40" w:type="dxa"/>
        <w:right w:w="108" w:type="dxa"/>
      </w:tblCellMar>
    </w:tblPr>
    <w:tblStylePr w:type="firstRow">
      <w:rPr>
        <w:b/>
      </w:rPr>
      <w:tblPr/>
      <w:tcPr>
        <w:tcBorders>
          <w:bottom w:val="single"/>
        </w:tcBorders>
        <w:shd w:val="clear" w:color="auto" w:fill="EFEBF5"/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LibreOffice/25.2.3.2$Linux_AARCH64 LibreOffice_project/520$Build-2</Application>
  <AppVersion>15.0000</AppVersion>
  <Pages>1</Pages>
  <Words>83</Words>
  <Characters>475</Characters>
  <CharactersWithSpaces>583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2026-09-22T21:13:23Z</dcterms:created>
  <dc:creator>ООО «СПОРТГИД»</dc:creator>
  <dc:description/>
  <dc:language>ru-RU</dc:language>
  <cp:lastModifiedBy/>
  <dcterms:modified xsi:type="dcterms:W3CDTF">2026-09-22T21:13:26Z</dcterms:modified>
  <cp:revision>1</cp:revision>
  <dc:subject>СпортГид: цифровая платформа детского спорта, версия 1.0</dc:subject>
  <dc:title>Руководство пользователя. СпортГид: цифровая платформа детского спорта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